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9E7D" w14:textId="77777777" w:rsidR="0004253F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456E585" wp14:editId="64AFEB4B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739127A" w14:textId="77777777" w:rsidR="0004253F" w:rsidRDefault="0004253F">
      <w:pPr>
        <w:spacing w:after="0" w:line="240" w:lineRule="auto"/>
        <w:rPr>
          <w:rFonts w:ascii="Times New Roman" w:hAnsi="Times New Roman"/>
          <w:b/>
        </w:rPr>
      </w:pPr>
    </w:p>
    <w:p w14:paraId="1386AFD5" w14:textId="77777777" w:rsidR="0004253F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1144C3B" w14:textId="77777777" w:rsidR="0004253F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72BD42B4" w14:textId="77777777" w:rsidR="0004253F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61B4FA56" w14:textId="77777777" w:rsidR="0004253F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76F49453" w14:textId="77777777" w:rsidR="0004253F" w:rsidRDefault="0004253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FEB2140" w14:textId="77777777" w:rsidR="0004253F" w:rsidRDefault="0004253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A6759B6" w14:textId="77777777" w:rsidR="0004253F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400-01/24-01/38</w:t>
      </w:r>
    </w:p>
    <w:p w14:paraId="09E95D35" w14:textId="77777777" w:rsidR="0004253F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>2140-14-03-25-14</w:t>
      </w:r>
    </w:p>
    <w:p w14:paraId="58A975AC" w14:textId="77777777" w:rsidR="0004253F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03. ožujka </w:t>
      </w:r>
      <w:r>
        <w:rPr>
          <w:rFonts w:ascii="Times New Roman" w:hAnsi="Times New Roman"/>
        </w:rPr>
        <w:t>2025.</w:t>
      </w:r>
    </w:p>
    <w:p w14:paraId="781422E5" w14:textId="77777777" w:rsidR="0004253F" w:rsidRDefault="0004253F">
      <w:pPr>
        <w:spacing w:after="0" w:line="240" w:lineRule="auto"/>
        <w:rPr>
          <w:rFonts w:ascii="Times New Roman" w:hAnsi="Times New Roman"/>
          <w:sz w:val="24"/>
        </w:rPr>
      </w:pPr>
    </w:p>
    <w:p w14:paraId="378B9C1C" w14:textId="77777777" w:rsidR="0004253F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80. Zakona o proračunu (NN br.144/21) općinski načelnik Općine Hum na Sutli podnosi </w:t>
      </w:r>
    </w:p>
    <w:p w14:paraId="01F0ADD3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IZVJEŠTAJ O </w:t>
      </w:r>
    </w:p>
    <w:p w14:paraId="09492E5B" w14:textId="77777777" w:rsidR="0004253F" w:rsidRDefault="000425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783FD1A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STANJU OBVEZA</w:t>
      </w:r>
    </w:p>
    <w:p w14:paraId="7D91A713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STANJU POTRAŽIVANJA</w:t>
      </w:r>
    </w:p>
    <w:p w14:paraId="57C3703F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STANJU POTRAŽIVANJA PO DANIM ZAJMOVIMA</w:t>
      </w:r>
    </w:p>
    <w:p w14:paraId="7FB613E6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STANJU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</w:rPr>
        <w:t>POTENCIJALNE OBVEZE PO OSNOVI SUDSKIH SPOROVA</w:t>
      </w:r>
    </w:p>
    <w:p w14:paraId="072657CB" w14:textId="77777777" w:rsidR="0004253F" w:rsidRDefault="000425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02B653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 DAN 31. PROSINAC 2024. GODINE </w:t>
      </w:r>
    </w:p>
    <w:p w14:paraId="3419751B" w14:textId="77777777" w:rsidR="0004253F" w:rsidRDefault="0004253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FAE5650" w14:textId="77777777" w:rsidR="0004253F" w:rsidRDefault="0004253F">
      <w:pPr>
        <w:spacing w:after="0" w:line="240" w:lineRule="auto"/>
        <w:rPr>
          <w:rFonts w:ascii="Times New Roman" w:hAnsi="Times New Roman"/>
        </w:rPr>
      </w:pPr>
    </w:p>
    <w:p w14:paraId="6E321C2B" w14:textId="77777777" w:rsidR="0004253F" w:rsidRDefault="00000000">
      <w:pPr>
        <w:spacing w:line="240" w:lineRule="auto"/>
        <w:jc w:val="center"/>
        <w:rPr>
          <w:rFonts w:ascii="Arial" w:hAnsi="Arial"/>
        </w:rPr>
      </w:pPr>
      <w:bookmarkStart w:id="0" w:name="_Hlk177057435"/>
      <w:r>
        <w:rPr>
          <w:rFonts w:ascii="Arial" w:hAnsi="Arial"/>
          <w:b/>
        </w:rPr>
        <w:t>I</w:t>
      </w:r>
      <w:r>
        <w:rPr>
          <w:rFonts w:ascii="Arial" w:hAnsi="Arial"/>
        </w:rPr>
        <w:t>.</w:t>
      </w:r>
      <w:bookmarkEnd w:id="0"/>
    </w:p>
    <w:p w14:paraId="136F870C" w14:textId="77777777" w:rsidR="0004253F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POTRAŽIVANJA</w:t>
      </w:r>
    </w:p>
    <w:p w14:paraId="389CA0B7" w14:textId="77777777" w:rsidR="0004253F" w:rsidRDefault="00000000">
      <w:pPr>
        <w:pStyle w:val="Bezproreda"/>
        <w:spacing w:after="0"/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Općina Hum na Sutli </w:t>
      </w:r>
      <w:bookmarkStart w:id="1" w:name="_Hlk191017179"/>
      <w:r>
        <w:rPr>
          <w:sz w:val="22"/>
          <w:u w:val="single"/>
        </w:rPr>
        <w:t xml:space="preserve">na dan 31. prosinca 2024. godine </w:t>
      </w:r>
      <w:bookmarkEnd w:id="1"/>
      <w:r>
        <w:rPr>
          <w:sz w:val="22"/>
          <w:u w:val="single"/>
        </w:rPr>
        <w:t>ima potraživanja u iznosu od 609.020,05 eura kako slijedi:</w:t>
      </w:r>
    </w:p>
    <w:p w14:paraId="6BCE5FA6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bookmarkStart w:id="2" w:name="_Hlk191018783"/>
      <w:r>
        <w:rPr>
          <w:sz w:val="22"/>
        </w:rPr>
        <w:t>Dospjela potraživanja od Hrvatske pošte za povrat neisplaćenih božićnica iznose 2.200,00 eura.</w:t>
      </w:r>
    </w:p>
    <w:p w14:paraId="673854F8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od Ministarstvo demografije i useljeništva za povrat isplaćenih sredstava za troškove ogrijeva korisnicima ZNM koji se griju na drva iznose 3.357,77 eura.</w:t>
      </w:r>
    </w:p>
    <w:bookmarkEnd w:id="2"/>
    <w:p w14:paraId="77209D0F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od Ministarstvo znanosti i obrazovanja - fiskalna održivost dječjih vrtića iznose 7.859,00 eura.</w:t>
      </w:r>
    </w:p>
    <w:p w14:paraId="39364907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 xml:space="preserve">Nedospjela potraživanja od Ministarstvo prostornog uređenja, graditeljstva i državne imovine </w:t>
      </w:r>
      <w:bookmarkStart w:id="3" w:name="_Hlk191017248"/>
      <w:r>
        <w:rPr>
          <w:sz w:val="22"/>
        </w:rPr>
        <w:t xml:space="preserve">prema ugovoru </w:t>
      </w:r>
      <w:bookmarkEnd w:id="3"/>
      <w:r>
        <w:rPr>
          <w:sz w:val="22"/>
        </w:rPr>
        <w:t>za izradu prostornog plana iznose 30.000,00 eura.</w:t>
      </w:r>
    </w:p>
    <w:p w14:paraId="729C5FB1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od Ministarstvo znanosti i obrazovanja prema ugovoru za projekt Dogradnja i opremanje dječjeg vrtića Balončica Hum na Sutli iznose 487.358,15 eura.</w:t>
      </w:r>
    </w:p>
    <w:p w14:paraId="740FF472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od zakupa i iznajmljivana imovine iznose 443,00 eura.</w:t>
      </w:r>
    </w:p>
    <w:p w14:paraId="2321B007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bookmarkStart w:id="4" w:name="_Hlk190954999"/>
      <w:r>
        <w:rPr>
          <w:sz w:val="22"/>
        </w:rPr>
        <w:t>Dospjela potraživanja od</w:t>
      </w:r>
      <w:bookmarkEnd w:id="4"/>
      <w:r>
        <w:rPr>
          <w:sz w:val="22"/>
        </w:rPr>
        <w:t xml:space="preserve"> zakupa i iznajmljivana imovine iznose 473,34 eura.</w:t>
      </w:r>
    </w:p>
    <w:p w14:paraId="5E6AC4B3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od zakupa javne površine iznose 398,17 eura.</w:t>
      </w:r>
    </w:p>
    <w:p w14:paraId="4108DDCB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Dospjela potraživanja za prihod od stanarine u iznosu od 27,88 eura.</w:t>
      </w:r>
    </w:p>
    <w:p w14:paraId="0C319BA0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za prihod od spomeničke renta iznose 0,75 eura.</w:t>
      </w:r>
    </w:p>
    <w:p w14:paraId="662C0BA9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bookmarkStart w:id="5" w:name="_Hlk190954888"/>
      <w:r>
        <w:rPr>
          <w:sz w:val="22"/>
        </w:rPr>
        <w:t>Nedospjela potraživanja za prihod od vodnog doprinosa iznose 47,40 eura</w:t>
      </w:r>
      <w:bookmarkEnd w:id="5"/>
      <w:r>
        <w:rPr>
          <w:sz w:val="22"/>
        </w:rPr>
        <w:t>.</w:t>
      </w:r>
    </w:p>
    <w:p w14:paraId="42C8379F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za prihod od doprinosa za šume iznose 48,19 eura.</w:t>
      </w:r>
    </w:p>
    <w:p w14:paraId="160AB7D0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Dospjela potraživanja za općinske poreze ukupno iznose 14.725,55 eura prema zaprimljenoj dokumentaciji Porezne uprave Ispostave Krapina, a odnosi se na:</w:t>
      </w:r>
    </w:p>
    <w:p w14:paraId="343A735D" w14:textId="77777777" w:rsidR="0004253F" w:rsidRDefault="00000000">
      <w:pPr>
        <w:pStyle w:val="Bezproreda"/>
        <w:numPr>
          <w:ilvl w:val="0"/>
          <w:numId w:val="2"/>
        </w:numPr>
        <w:spacing w:after="0"/>
        <w:ind w:firstLine="414"/>
        <w:jc w:val="both"/>
        <w:rPr>
          <w:sz w:val="22"/>
        </w:rPr>
      </w:pPr>
      <w:bookmarkStart w:id="6" w:name="_Hlk190955329"/>
      <w:bookmarkStart w:id="7" w:name="_Hlk190955036"/>
      <w:r>
        <w:rPr>
          <w:sz w:val="22"/>
        </w:rPr>
        <w:t>potraživanja za porez kuće za odmor u iznosu od 443,72,</w:t>
      </w:r>
    </w:p>
    <w:bookmarkEnd w:id="6"/>
    <w:p w14:paraId="41689798" w14:textId="77777777" w:rsidR="0004253F" w:rsidRDefault="00000000">
      <w:pPr>
        <w:pStyle w:val="Bezproreda"/>
        <w:numPr>
          <w:ilvl w:val="0"/>
          <w:numId w:val="2"/>
        </w:numPr>
        <w:spacing w:after="0"/>
        <w:ind w:firstLine="414"/>
        <w:jc w:val="both"/>
        <w:rPr>
          <w:sz w:val="22"/>
        </w:rPr>
      </w:pPr>
      <w:r>
        <w:rPr>
          <w:sz w:val="22"/>
        </w:rPr>
        <w:t>potraživanja za porez na tvrtku u iznosu od 3.879,28 eura,</w:t>
      </w:r>
    </w:p>
    <w:p w14:paraId="648C6FC5" w14:textId="77777777" w:rsidR="0004253F" w:rsidRDefault="00000000">
      <w:pPr>
        <w:pStyle w:val="Bezproreda"/>
        <w:numPr>
          <w:ilvl w:val="0"/>
          <w:numId w:val="2"/>
        </w:numPr>
        <w:spacing w:after="0"/>
        <w:ind w:firstLine="414"/>
        <w:jc w:val="both"/>
        <w:rPr>
          <w:sz w:val="22"/>
        </w:rPr>
      </w:pPr>
      <w:r>
        <w:rPr>
          <w:sz w:val="22"/>
        </w:rPr>
        <w:t>potraživanja za porez na potrošnju u iznosu od 2.519,95 eura,</w:t>
      </w:r>
    </w:p>
    <w:p w14:paraId="7AA8B254" w14:textId="77777777" w:rsidR="0004253F" w:rsidRDefault="00000000">
      <w:pPr>
        <w:pStyle w:val="Bezproreda"/>
        <w:numPr>
          <w:ilvl w:val="0"/>
          <w:numId w:val="2"/>
        </w:numPr>
        <w:spacing w:after="0"/>
        <w:ind w:firstLine="414"/>
        <w:jc w:val="both"/>
        <w:rPr>
          <w:sz w:val="22"/>
        </w:rPr>
      </w:pPr>
      <w:r>
        <w:rPr>
          <w:sz w:val="22"/>
        </w:rPr>
        <w:lastRenderedPageBreak/>
        <w:t>potraživanja za porez na nekretnine u iznosu od 7.882,60 eura.</w:t>
      </w:r>
      <w:bookmarkEnd w:id="7"/>
    </w:p>
    <w:p w14:paraId="34CE3195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za komunalni doprinos iznose 700,09 eura.</w:t>
      </w:r>
    </w:p>
    <w:p w14:paraId="6550FEB6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Dospjela potraživanja za komunalni doprinos iznose 631,52 eura.</w:t>
      </w:r>
    </w:p>
    <w:p w14:paraId="6F48874C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 xml:space="preserve">Dospjela potraživanja za komunalnu naknadu ukupno iznose 49.304,65 eura, a odnose se na:  </w:t>
      </w:r>
    </w:p>
    <w:p w14:paraId="4C7B6020" w14:textId="77777777" w:rsidR="0004253F" w:rsidRDefault="00000000">
      <w:pPr>
        <w:pStyle w:val="Bezproreda"/>
        <w:numPr>
          <w:ilvl w:val="0"/>
          <w:numId w:val="3"/>
        </w:numPr>
        <w:spacing w:after="0"/>
        <w:jc w:val="both"/>
        <w:rPr>
          <w:sz w:val="22"/>
        </w:rPr>
      </w:pPr>
      <w:r>
        <w:rPr>
          <w:sz w:val="22"/>
        </w:rPr>
        <w:t xml:space="preserve">potraživanja za komunalnu naknadu  fizičke osobe u iznosu od 5.505,16 eura, </w:t>
      </w:r>
    </w:p>
    <w:p w14:paraId="34238CA8" w14:textId="77777777" w:rsidR="0004253F" w:rsidRDefault="00000000">
      <w:pPr>
        <w:pStyle w:val="Bezproreda"/>
        <w:numPr>
          <w:ilvl w:val="0"/>
          <w:numId w:val="3"/>
        </w:numPr>
        <w:spacing w:after="0"/>
        <w:jc w:val="both"/>
        <w:rPr>
          <w:sz w:val="22"/>
        </w:rPr>
      </w:pPr>
      <w:r>
        <w:rPr>
          <w:sz w:val="22"/>
        </w:rPr>
        <w:t>potraživanja za komunalnu naknadu  pravne osobe u iznosu od 43.799,49 eura,</w:t>
      </w:r>
    </w:p>
    <w:p w14:paraId="52D7EB7C" w14:textId="77777777" w:rsidR="0004253F" w:rsidRDefault="00000000">
      <w:pPr>
        <w:pStyle w:val="Bezproreda"/>
        <w:spacing w:after="0"/>
        <w:ind w:left="720"/>
        <w:jc w:val="both"/>
        <w:rPr>
          <w:sz w:val="22"/>
        </w:rPr>
      </w:pPr>
      <w:r>
        <w:rPr>
          <w:sz w:val="22"/>
        </w:rPr>
        <w:t>(u prilogu evidencije potraživanja po obveznicima).</w:t>
      </w:r>
    </w:p>
    <w:p w14:paraId="4071E7D0" w14:textId="77777777" w:rsidR="0004253F" w:rsidRDefault="00000000">
      <w:pPr>
        <w:pStyle w:val="Bezproreda"/>
        <w:numPr>
          <w:ilvl w:val="0"/>
          <w:numId w:val="1"/>
        </w:numPr>
        <w:spacing w:after="0"/>
        <w:jc w:val="both"/>
        <w:rPr>
          <w:sz w:val="22"/>
        </w:rPr>
      </w:pPr>
      <w:r>
        <w:rPr>
          <w:sz w:val="22"/>
        </w:rPr>
        <w:t>Nedospjela potraživanja prema ugovorima za asfaltiranje iznose 8.729,86 eura.</w:t>
      </w:r>
    </w:p>
    <w:p w14:paraId="6CD6E263" w14:textId="77777777" w:rsidR="0004253F" w:rsidRDefault="00000000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Dospjela potraživanje za otplatu stanova na kojima postoji stanarsko pravo iznose 2.714,73 eura.</w:t>
      </w:r>
    </w:p>
    <w:p w14:paraId="0AB7E947" w14:textId="77777777" w:rsidR="0004253F" w:rsidRDefault="0004253F">
      <w:pPr>
        <w:spacing w:line="240" w:lineRule="auto"/>
        <w:ind w:left="1080"/>
        <w:jc w:val="both"/>
        <w:rPr>
          <w:rFonts w:ascii="Arial" w:hAnsi="Arial"/>
        </w:rPr>
      </w:pPr>
    </w:p>
    <w:p w14:paraId="4C7CFF44" w14:textId="77777777" w:rsidR="0004253F" w:rsidRDefault="00000000">
      <w:pPr>
        <w:tabs>
          <w:tab w:val="center" w:pos="4536"/>
          <w:tab w:val="left" w:pos="5115"/>
        </w:tabs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  <w:t>II.</w:t>
      </w:r>
      <w:r>
        <w:rPr>
          <w:rFonts w:ascii="Arial" w:hAnsi="Arial"/>
          <w:b/>
        </w:rPr>
        <w:tab/>
      </w:r>
    </w:p>
    <w:p w14:paraId="7259AF90" w14:textId="77777777" w:rsidR="0004253F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OBVEZE</w:t>
      </w:r>
    </w:p>
    <w:p w14:paraId="75B11BAC" w14:textId="77777777" w:rsidR="0004253F" w:rsidRDefault="0000000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Općina Hum na Sutli na dan 31. prosinca 2024. godine ima slijedeće obveze u ukupnom iznosu od 358.755,46 eura, a odnose se na:</w:t>
      </w:r>
    </w:p>
    <w:p w14:paraId="267F9923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>Nedospjele obvezu za plaću za prosinac 2024. godine u iznosu od 10.661,94 eura.</w:t>
      </w:r>
    </w:p>
    <w:p w14:paraId="08228CBD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>Nedospjele obvezu za  tekuće materijalne rashode u iznosu od 35.186,76 eura.</w:t>
      </w:r>
    </w:p>
    <w:p w14:paraId="307DEAE7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>Nedospjele obvezu za financijske rashode u iznosu od 595,43 eura.</w:t>
      </w:r>
    </w:p>
    <w:p w14:paraId="69A97B41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>Nedospjele obvezu za subvencije u iznosu od 1.000,00  eura.</w:t>
      </w:r>
    </w:p>
    <w:p w14:paraId="25EA5690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>Nedospjela obveza za ostale naknade građanima u iznosu od 1.624,84 eura</w:t>
      </w:r>
    </w:p>
    <w:p w14:paraId="2A07A602" w14:textId="77777777" w:rsidR="0004253F" w:rsidRDefault="00000000">
      <w:pPr>
        <w:pStyle w:val="Bezproreda"/>
        <w:numPr>
          <w:ilvl w:val="0"/>
          <w:numId w:val="4"/>
        </w:numPr>
        <w:spacing w:after="0"/>
        <w:jc w:val="both"/>
        <w:rPr>
          <w:sz w:val="22"/>
        </w:rPr>
      </w:pPr>
      <w:r>
        <w:rPr>
          <w:sz w:val="22"/>
        </w:rPr>
        <w:t xml:space="preserve">Nedospjelu obvezu otplate glavnice za iskorišteni dio dugoročnog kredita namijenjenog za financiranje izgradnje građevine športsko-rekreacijske namjene, 2. b skupine - prateći i pomoćni prostori uz postojeće nogometno igralište u iznosu 309.686,49 eura. </w:t>
      </w:r>
    </w:p>
    <w:p w14:paraId="02787073" w14:textId="77777777" w:rsidR="0004253F" w:rsidRDefault="0004253F">
      <w:pPr>
        <w:spacing w:after="0" w:line="240" w:lineRule="auto"/>
        <w:jc w:val="both"/>
        <w:rPr>
          <w:rFonts w:ascii="Arial" w:hAnsi="Arial"/>
        </w:rPr>
      </w:pPr>
    </w:p>
    <w:p w14:paraId="617E9775" w14:textId="77777777" w:rsidR="0004253F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dan 31. prosinac 2024. godine općina Hum na Sutli </w:t>
      </w:r>
      <w:r w:rsidRPr="0079310A">
        <w:rPr>
          <w:rFonts w:ascii="Times New Roman" w:hAnsi="Times New Roman"/>
          <w:b/>
          <w:bCs/>
          <w:u w:val="single"/>
        </w:rPr>
        <w:t>nema dospjelih obveza</w:t>
      </w:r>
      <w:r>
        <w:rPr>
          <w:rFonts w:ascii="Times New Roman" w:hAnsi="Times New Roman"/>
        </w:rPr>
        <w:t>.</w:t>
      </w:r>
    </w:p>
    <w:p w14:paraId="50855FBD" w14:textId="77777777" w:rsidR="0004253F" w:rsidRDefault="00000000">
      <w:pPr>
        <w:tabs>
          <w:tab w:val="left" w:pos="3750"/>
        </w:tabs>
        <w:spacing w:line="240" w:lineRule="auto"/>
        <w:ind w:left="284"/>
        <w:jc w:val="both"/>
        <w:rPr>
          <w:rFonts w:ascii="Arial" w:hAnsi="Arial"/>
        </w:rPr>
      </w:pPr>
      <w:r>
        <w:rPr>
          <w:rFonts w:ascii="Times New Roman" w:hAnsi="Times New Roman"/>
        </w:rPr>
        <w:tab/>
      </w:r>
    </w:p>
    <w:p w14:paraId="27B6A649" w14:textId="77777777" w:rsidR="0004253F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</w:t>
      </w:r>
    </w:p>
    <w:p w14:paraId="25160315" w14:textId="77777777" w:rsidR="0004253F" w:rsidRDefault="0004253F">
      <w:pPr>
        <w:spacing w:line="240" w:lineRule="auto"/>
        <w:rPr>
          <w:rFonts w:ascii="Times New Roman" w:hAnsi="Times New Roman"/>
        </w:rPr>
      </w:pPr>
    </w:p>
    <w:p w14:paraId="5880F7D2" w14:textId="77777777" w:rsidR="0004253F" w:rsidRDefault="00000000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STANJE POTRAŽIVANJA PO DANIM ZAJMOVIMA</w:t>
      </w:r>
    </w:p>
    <w:p w14:paraId="66B02028" w14:textId="77777777" w:rsidR="0004253F" w:rsidRDefault="00000000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Općina Hum na Sutli na dan 31. prosinca 2024. godine ima potraživanja po danim zajmovima u iznosu od 61.381,78 eura:</w:t>
      </w:r>
    </w:p>
    <w:p w14:paraId="0DCE9BD1" w14:textId="77777777" w:rsidR="0004253F" w:rsidRDefault="00000000">
      <w:pPr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Dospjela potraživanja za zajmove od KZŽ u iznosu od 61.381,78 eura</w:t>
      </w:r>
    </w:p>
    <w:p w14:paraId="4A3C4903" w14:textId="77777777" w:rsidR="0004253F" w:rsidRDefault="0004253F">
      <w:pPr>
        <w:spacing w:line="240" w:lineRule="auto"/>
        <w:rPr>
          <w:rFonts w:ascii="Times New Roman" w:hAnsi="Times New Roman"/>
          <w:b/>
        </w:rPr>
      </w:pPr>
    </w:p>
    <w:p w14:paraId="05C9D8C0" w14:textId="77777777" w:rsidR="0004253F" w:rsidRDefault="0000000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</w:t>
      </w:r>
    </w:p>
    <w:p w14:paraId="2B8CFD5E" w14:textId="77777777" w:rsidR="0004253F" w:rsidRDefault="0004253F">
      <w:pPr>
        <w:spacing w:line="240" w:lineRule="auto"/>
        <w:jc w:val="both"/>
        <w:rPr>
          <w:rFonts w:ascii="Times New Roman" w:hAnsi="Times New Roman"/>
        </w:rPr>
      </w:pPr>
    </w:p>
    <w:p w14:paraId="5AE0BACA" w14:textId="77777777" w:rsidR="0004253F" w:rsidRDefault="000000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POTENCIJALNE OBVEZE PO OSNOVI SUDSKIH SPOROVA</w:t>
      </w:r>
    </w:p>
    <w:p w14:paraId="7A6AC7B2" w14:textId="77777777" w:rsidR="0004253F" w:rsidRDefault="0000000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proofErr w:type="spellStart"/>
      <w:r>
        <w:rPr>
          <w:rFonts w:ascii="Times New Roman" w:hAnsi="Times New Roman"/>
        </w:rPr>
        <w:t>izvanbilančnom</w:t>
      </w:r>
      <w:proofErr w:type="spellEnd"/>
      <w:r>
        <w:rPr>
          <w:rFonts w:ascii="Times New Roman" w:hAnsi="Times New Roman"/>
        </w:rPr>
        <w:t xml:space="preserve"> zapisu i dalje vodi se Spor iz Ugovora o građenju Nogometno igralište Lastine, tužitelj Boris </w:t>
      </w:r>
      <w:proofErr w:type="spellStart"/>
      <w:r>
        <w:rPr>
          <w:rFonts w:ascii="Times New Roman" w:hAnsi="Times New Roman"/>
        </w:rPr>
        <w:t>Oberški</w:t>
      </w:r>
      <w:proofErr w:type="spellEnd"/>
      <w:r>
        <w:rPr>
          <w:rFonts w:ascii="Times New Roman" w:hAnsi="Times New Roman"/>
        </w:rPr>
        <w:t>, vrijednost spora 255.253,83 eura i 49.194,93 eura.</w:t>
      </w:r>
    </w:p>
    <w:p w14:paraId="6D7C0294" w14:textId="77777777" w:rsidR="0004253F" w:rsidRDefault="0004253F">
      <w:pPr>
        <w:spacing w:line="240" w:lineRule="auto"/>
        <w:rPr>
          <w:rFonts w:ascii="Times New Roman" w:hAnsi="Times New Roman"/>
        </w:rPr>
      </w:pPr>
    </w:p>
    <w:p w14:paraId="4F1EB82E" w14:textId="77777777" w:rsidR="00AF48E5" w:rsidRDefault="00AF48E5">
      <w:pPr>
        <w:spacing w:line="240" w:lineRule="auto"/>
        <w:rPr>
          <w:rFonts w:ascii="Times New Roman" w:hAnsi="Times New Roman"/>
        </w:rPr>
      </w:pPr>
    </w:p>
    <w:p w14:paraId="497BDEFA" w14:textId="77777777" w:rsidR="0004253F" w:rsidRDefault="0000000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</w:rPr>
        <w:t xml:space="preserve">OPĆINSKI NAČELNIK </w:t>
      </w:r>
    </w:p>
    <w:p w14:paraId="3025F65C" w14:textId="77777777" w:rsidR="0004253F" w:rsidRDefault="00000000">
      <w:pPr>
        <w:spacing w:after="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Zvonko Jutriša, </w:t>
      </w:r>
      <w:proofErr w:type="spellStart"/>
      <w:r>
        <w:rPr>
          <w:rFonts w:ascii="Times New Roman" w:hAnsi="Times New Roman"/>
        </w:rPr>
        <w:t>dipl.ing.stroj</w:t>
      </w:r>
      <w:proofErr w:type="spellEnd"/>
      <w:r>
        <w:rPr>
          <w:rFonts w:ascii="Times New Roman" w:hAnsi="Times New Roman"/>
        </w:rPr>
        <w:t>.</w:t>
      </w:r>
    </w:p>
    <w:p w14:paraId="3B690396" w14:textId="77777777" w:rsidR="0004253F" w:rsidRDefault="0004253F">
      <w:pPr>
        <w:spacing w:after="0" w:line="240" w:lineRule="auto"/>
        <w:rPr>
          <w:rFonts w:ascii="Times New Roman" w:hAnsi="Times New Roman"/>
        </w:rPr>
      </w:pPr>
    </w:p>
    <w:p w14:paraId="46BB5501" w14:textId="77777777" w:rsidR="0004253F" w:rsidRDefault="0004253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BB8D418" w14:textId="77777777" w:rsidR="0004253F" w:rsidRDefault="0004253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CAD5032" w14:textId="77777777" w:rsidR="0004253F" w:rsidRDefault="0004253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4531293" w14:textId="77777777" w:rsidR="00AF48E5" w:rsidRDefault="00AF48E5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FEA5FD6" w14:textId="77777777" w:rsidR="0004253F" w:rsidRDefault="00000000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DOSTAVITI:</w:t>
      </w:r>
    </w:p>
    <w:p w14:paraId="1D6B6E22" w14:textId="77777777" w:rsidR="0004253F" w:rsidRDefault="0000000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w:t xml:space="preserve">1. MINISTARSTVO </w:t>
      </w:r>
      <w:r>
        <w:rPr>
          <w:rFonts w:ascii="Times New Roman" w:hAnsi="Times New Roman"/>
          <w:sz w:val="16"/>
        </w:rPr>
        <w:t>FINANCIJA, KATANČIĆEVA ULICA 5  10000 Zagreb</w:t>
      </w:r>
    </w:p>
    <w:p w14:paraId="3D6CDC94" w14:textId="77777777" w:rsidR="0004253F" w:rsidRDefault="00000000">
      <w:pPr>
        <w:spacing w:after="0" w:line="240" w:lineRule="auto"/>
        <w:rPr>
          <w:sz w:val="16"/>
        </w:rPr>
      </w:pPr>
      <w:r>
        <w:rPr>
          <w:rFonts w:ascii="Times New Roman" w:hAnsi="Times New Roman"/>
          <w:sz w:val="16"/>
        </w:rPr>
        <w:t>2. SLUŽBENI GLASNIK KRAPINSKO-ZAGORSKE ŽUPANIJE, Magistratska 1 49000 Krapina</w:t>
      </w:r>
    </w:p>
    <w:sectPr w:rsidR="00042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DB305" w14:textId="77777777" w:rsidR="002406CA" w:rsidRDefault="002406CA">
      <w:pPr>
        <w:spacing w:after="0" w:line="240" w:lineRule="auto"/>
      </w:pPr>
      <w:r>
        <w:separator/>
      </w:r>
    </w:p>
  </w:endnote>
  <w:endnote w:type="continuationSeparator" w:id="0">
    <w:p w14:paraId="073B96E4" w14:textId="77777777" w:rsidR="002406CA" w:rsidRDefault="0024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470B" w14:textId="77777777" w:rsidR="0004253F" w:rsidRDefault="0004253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96C36" w14:textId="77777777" w:rsidR="0004253F" w:rsidRDefault="0004253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D4943" w14:textId="77777777" w:rsidR="0004253F" w:rsidRDefault="0004253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F2261" w14:textId="77777777" w:rsidR="002406CA" w:rsidRDefault="002406CA">
      <w:pPr>
        <w:spacing w:after="0" w:line="240" w:lineRule="auto"/>
      </w:pPr>
      <w:r>
        <w:separator/>
      </w:r>
    </w:p>
  </w:footnote>
  <w:footnote w:type="continuationSeparator" w:id="0">
    <w:p w14:paraId="591D74B5" w14:textId="77777777" w:rsidR="002406CA" w:rsidRDefault="0024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221B" w14:textId="77777777" w:rsidR="0004253F" w:rsidRDefault="0004253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F825B" w14:textId="77777777" w:rsidR="0004253F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61F72D2" wp14:editId="2F84E052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72124" w14:textId="77777777" w:rsidR="0004253F" w:rsidRDefault="00000000">
    <w:pPr>
      <w:pStyle w:val="Zaglavlje"/>
      <w:jc w:val="right"/>
    </w:pPr>
    <w:r>
      <w:rPr>
        <w:noProof/>
      </w:rPr>
      <w:drawing>
        <wp:inline distT="0" distB="0" distL="0" distR="0" wp14:anchorId="179E7159" wp14:editId="346F28B7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86BFB0"/>
    <w:lvl w:ilvl="0" w:tplc="041A000B">
      <w:start w:val="1"/>
      <w:numFmt w:val="bullet"/>
      <w:lvlText w:val=""/>
      <w:lvlJc w:val="left"/>
      <w:pPr>
        <w:spacing w:beforeAutospacing="0" w:afterAutospacing="0" w:line="240" w:lineRule="auto"/>
        <w:ind w:left="720" w:hanging="360"/>
      </w:pPr>
      <w:rPr>
        <w:rFonts w:ascii="Wingdings" w:hAnsi="Wingdings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FD6EE9B2"/>
    <w:lvl w:ilvl="0" w:tplc="556EE3E8">
      <w:start w:val="1"/>
      <w:numFmt w:val="bullet"/>
      <w:lvlText w:val=""/>
      <w:lvlJc w:val="left"/>
      <w:pPr>
        <w:spacing w:beforeAutospacing="0" w:afterAutospacing="0" w:line="240" w:lineRule="auto"/>
        <w:ind w:left="720" w:hanging="360"/>
      </w:pPr>
      <w:rPr>
        <w:rFonts w:ascii="Symbol" w:hAnsi="Symbol"/>
      </w:rPr>
    </w:lvl>
    <w:lvl w:ilvl="1" w:tplc="53011E09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6C20D386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134CB032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6022A47E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2AF00E5D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55B78E93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3CC4DF0D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5933BCAE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37CCE418"/>
    <w:lvl w:ilvl="0" w:tplc="556EE3E8">
      <w:start w:val="1"/>
      <w:numFmt w:val="bullet"/>
      <w:lvlText w:val=""/>
      <w:lvlJc w:val="left"/>
      <w:pPr>
        <w:spacing w:beforeAutospacing="0" w:afterAutospacing="0" w:line="240" w:lineRule="auto"/>
        <w:ind w:left="1440" w:hanging="360"/>
      </w:pPr>
      <w:rPr>
        <w:rFonts w:ascii="Symbol" w:hAnsi="Symbol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216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88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360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432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504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76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648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551A366A"/>
    <w:lvl w:ilvl="0" w:tplc="041A000B">
      <w:start w:val="1"/>
      <w:numFmt w:val="bullet"/>
      <w:lvlText w:val=""/>
      <w:lvlJc w:val="left"/>
      <w:pPr>
        <w:spacing w:beforeAutospacing="0" w:afterAutospacing="0" w:line="240" w:lineRule="auto"/>
        <w:ind w:left="720" w:hanging="360"/>
      </w:pPr>
      <w:rPr>
        <w:rFonts w:ascii="Wingdings" w:hAnsi="Wingdings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E24C1C0A"/>
    <w:lvl w:ilvl="0" w:tplc="041A000B">
      <w:start w:val="1"/>
      <w:numFmt w:val="bullet"/>
      <w:lvlText w:val=""/>
      <w:lvlJc w:val="left"/>
      <w:pPr>
        <w:spacing w:beforeAutospacing="0" w:afterAutospacing="0" w:line="240" w:lineRule="auto"/>
        <w:ind w:left="720" w:hanging="360"/>
      </w:pPr>
      <w:rPr>
        <w:rFonts w:ascii="Wingdings" w:hAnsi="Wingdings"/>
      </w:rPr>
    </w:lvl>
    <w:lvl w:ilvl="1" w:tplc="041A0003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Wingdings" w:hAnsi="Wingdings"/>
      </w:rPr>
    </w:lvl>
  </w:abstractNum>
  <w:num w:numId="1" w16cid:durableId="2062708754">
    <w:abstractNumId w:val="0"/>
  </w:num>
  <w:num w:numId="2" w16cid:durableId="1496070661">
    <w:abstractNumId w:val="1"/>
  </w:num>
  <w:num w:numId="3" w16cid:durableId="1326282431">
    <w:abstractNumId w:val="2"/>
  </w:num>
  <w:num w:numId="4" w16cid:durableId="449320396">
    <w:abstractNumId w:val="3"/>
  </w:num>
  <w:num w:numId="5" w16cid:durableId="1493982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3F"/>
    <w:rsid w:val="0004253F"/>
    <w:rsid w:val="002406CA"/>
    <w:rsid w:val="0079310A"/>
    <w:rsid w:val="008A248C"/>
    <w:rsid w:val="00935F64"/>
    <w:rsid w:val="00AF48E5"/>
    <w:rsid w:val="00D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2446"/>
  <w15:docId w15:val="{30C00B75-3177-4038-BD22-EB06BDC4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dcterms:created xsi:type="dcterms:W3CDTF">2025-03-03T16:51:00Z</dcterms:created>
  <dcterms:modified xsi:type="dcterms:W3CDTF">2025-03-03T16:08:00Z</dcterms:modified>
</cp:coreProperties>
</file>