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KLASA: </w:t>
      </w:r>
      <w:r>
        <w:rPr>
          <w:rFonts w:ascii="Times New Roman" w:hAnsi="Times New Roman"/>
          <w:sz w:val="22"/>
        </w:rPr>
        <w:t>400-01/24-01/36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URBROJ: </w:t>
      </w:r>
      <w:r>
        <w:rPr>
          <w:rFonts w:ascii="Times New Roman" w:hAnsi="Times New Roman"/>
          <w:noProof w:val="1"/>
          <w:sz w:val="22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noProof w:val="1"/>
          <w:sz w:val="22"/>
        </w:rPr>
        <w:t>Hum</w:t>
      </w:r>
      <w:r>
        <w:rPr>
          <w:rFonts w:ascii="Times New Roman" w:hAnsi="Times New Roman"/>
          <w:noProof w:val="1"/>
          <w:sz w:val="22"/>
        </w:rPr>
        <w:t xml:space="preserve"> </w:t>
      </w:r>
      <w:r>
        <w:rPr>
          <w:rFonts w:ascii="Times New Roman" w:hAnsi="Times New Roman"/>
          <w:noProof w:val="1"/>
          <w:sz w:val="22"/>
        </w:rPr>
        <w:t>na</w:t>
      </w:r>
      <w:r>
        <w:rPr>
          <w:rFonts w:ascii="Times New Roman" w:hAnsi="Times New Roman"/>
          <w:noProof w:val="1"/>
          <w:sz w:val="22"/>
        </w:rPr>
        <w:t xml:space="preserve"> </w:t>
      </w:r>
      <w:r>
        <w:rPr>
          <w:rFonts w:ascii="Times New Roman" w:hAnsi="Times New Roman"/>
          <w:noProof w:val="1"/>
          <w:sz w:val="22"/>
        </w:rPr>
        <w:t>Sutli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noProof w:val="1"/>
          <w:sz w:val="22"/>
        </w:rPr>
        <w:t>16</w:t>
      </w:r>
      <w:r>
        <w:rPr>
          <w:rFonts w:ascii="Times New Roman" w:hAnsi="Times New Roman"/>
          <w:noProof w:val="1"/>
          <w:sz w:val="22"/>
        </w:rPr>
        <w:t>.</w:t>
      </w:r>
      <w:r>
        <w:rPr>
          <w:rFonts w:ascii="Times New Roman" w:hAnsi="Times New Roman"/>
          <w:noProof w:val="1"/>
          <w:sz w:val="22"/>
        </w:rPr>
        <w:t xml:space="preserve"> </w:t>
      </w:r>
      <w:r>
        <w:rPr>
          <w:rFonts w:ascii="Times New Roman" w:hAnsi="Times New Roman"/>
          <w:noProof w:val="1"/>
          <w:sz w:val="22"/>
        </w:rPr>
        <w:t>prosinca</w:t>
      </w:r>
      <w:r>
        <w:rPr>
          <w:rFonts w:ascii="Times New Roman" w:hAnsi="Times New Roman"/>
          <w:noProof w:val="1"/>
          <w:sz w:val="22"/>
        </w:rPr>
        <w:t xml:space="preserve"> </w:t>
      </w:r>
      <w:r>
        <w:rPr>
          <w:rFonts w:ascii="Times New Roman" w:hAnsi="Times New Roman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temelju članka 30. Statuta općine Hum na Sutli («Službeni glasnik Krapinsko-zagorske županije» br.9/21), općinsko vijeće Općine Hum na Sutli na sjednici održanoj 16. prosinca 2024. godine donijelo je</w:t>
      </w:r>
    </w:p>
    <w:p>
      <w:pPr>
        <w:spacing w:lineRule="auto" w:line="240" w:beforeAutospacing="0" w:afterAutospacing="0"/>
        <w:pStyle w:val="P0"/>
        <w:rPr>
          <w:rFonts w:ascii="Arial" w:hAnsi="Arial"/>
          <w:sz w:val="22"/>
        </w:rPr>
      </w:pP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Z A K L J U Č A K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>I.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Prihvaća se Program rada za 2025. godinu i Financijski plan Narodne knjižnice Hum na Sutli za 2025. godinu s projekcijom za 2026. i 2027. godinu. 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>II.</w:t>
      </w:r>
    </w:p>
    <w:p>
      <w:pPr>
        <w:spacing w:lineRule="auto" w:line="240" w:beforeAutospacing="0" w:afterAutospacing="0"/>
        <w:ind w:firstLine="708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Program rada i Financijski plan iz točke I. prilažu se Zaključku i njegov su sastavni dio.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>III.</w:t>
      </w:r>
    </w:p>
    <w:p>
      <w:pPr>
        <w:spacing w:lineRule="auto" w:line="240" w:beforeAutospacing="0" w:afterAutospacing="0"/>
        <w:ind w:firstLine="708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Ovaj Zaključak objavit će se u „Službenom glasniku Krapinsko-zagorske županije“.  </w:t>
      </w:r>
    </w:p>
    <w:p>
      <w:pPr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  </w:t>
        <w:tab/>
        <w:tab/>
        <w:tab/>
        <w:tab/>
        <w:tab/>
      </w:r>
      <w:r>
        <w:rPr>
          <w:rFonts w:ascii="Arial" w:hAnsi="Arial"/>
          <w:sz w:val="22"/>
        </w:rPr>
        <w:tab/>
      </w:r>
    </w:p>
    <w:p>
      <w:pPr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color w:val="000000"/>
          <w:sz w:val="22"/>
        </w:rPr>
        <w:tab/>
        <w:tab/>
        <w:tab/>
        <w:tab/>
        <w:tab/>
        <w:tab/>
        <w:t xml:space="preserve"> </w:t>
        <w:tab/>
        <w:t xml:space="preserve">         PREDSJEDNIK 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color w:val="000000"/>
          <w:sz w:val="22"/>
        </w:rPr>
        <w:tab/>
        <w:tab/>
        <w:tab/>
        <w:tab/>
        <w:tab/>
        <w:tab/>
        <w:t xml:space="preserve">                OPĆINSKOG VIJEĆA 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ab/>
        <w:tab/>
        <w:tab/>
        <w:tab/>
        <w:tab/>
        <w:tab/>
        <w:t xml:space="preserve"> </w:t>
        <w:tab/>
        <w:tab/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Arial" w:hAnsi="Arial"/>
          <w:i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Arial" w:hAnsi="Arial"/>
          <w:b w:val="1"/>
          <w:sz w:val="16"/>
        </w:rPr>
      </w:pPr>
      <w:r>
        <w:rPr>
          <w:rFonts w:ascii="Arial" w:hAnsi="Arial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16"/>
        </w:rPr>
      </w:pPr>
      <w:r>
        <w:rPr>
          <w:rFonts w:ascii="Arial" w:hAnsi="Arial"/>
          <w:noProof w:val="1"/>
          <w:sz w:val="16"/>
        </w:rPr>
        <w:t>1</w:t>
      </w:r>
      <w:r>
        <w:rPr>
          <w:rFonts w:ascii="Arial" w:hAnsi="Arial"/>
          <w:noProof w:val="1"/>
          <w:sz w:val="16"/>
        </w:rPr>
        <w:t>.</w:t>
      </w:r>
      <w:r>
        <w:rPr>
          <w:rFonts w:ascii="Arial" w:hAnsi="Arial"/>
          <w:noProof w:val="1"/>
          <w:sz w:val="16"/>
        </w:rPr>
        <w:t xml:space="preserve"> </w:t>
      </w:r>
      <w:r>
        <w:rPr>
          <w:rFonts w:ascii="Arial" w:hAnsi="Arial"/>
          <w:noProof w:val="1"/>
          <w:sz w:val="16"/>
        </w:rPr>
        <w:t>NARODNA</w:t>
      </w:r>
      <w:r>
        <w:rPr>
          <w:rFonts w:ascii="Arial" w:hAnsi="Arial"/>
          <w:noProof w:val="1"/>
          <w:sz w:val="16"/>
        </w:rPr>
        <w:t xml:space="preserve"> </w:t>
      </w:r>
      <w:r>
        <w:rPr>
          <w:rFonts w:ascii="Arial" w:hAnsi="Arial"/>
          <w:sz w:val="16"/>
        </w:rPr>
        <w:t xml:space="preserve">KNJIŽNICA HUM NA SUTLI, HUM NA SUTLI, HUM NA SUTLI 175 , HUM NA SUTLI, 49231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2. SLUŽBENI GLASNIK KRAPINSKO-ZAGORSKE ŽUPANIJE, 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2024-12-21T10:43:43Z</dcterms:created>
  <dcterms:modified xsi:type="dcterms:W3CDTF">2024-12-21T10:43:43Z</dcterms:modified>
</cp:coreProperties>
</file>