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Calibri" w:hAnsi="Calibri"/>
          <w:b w:val="1"/>
          <w:sz w:val="20"/>
        </w:rPr>
      </w:pPr>
      <w:r>
        <w:rPr>
          <w:rFonts w:ascii="Calibri" w:hAnsi="Calibri"/>
          <w:b w:val="1"/>
          <w:noProof w:val="1"/>
          <w:sz w:val="20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b w:val="1"/>
          <w:sz w:val="20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0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0"/>
        </w:rPr>
      </w:pPr>
      <w:r>
        <w:rPr>
          <w:rFonts w:ascii="Calibri" w:hAnsi="Calibri"/>
          <w:b w:val="1"/>
          <w:sz w:val="20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0"/>
        </w:rPr>
      </w:pPr>
      <w:r>
        <w:rPr>
          <w:rFonts w:ascii="Calibri" w:hAnsi="Calibri"/>
          <w:b w:val="1"/>
          <w:sz w:val="20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0"/>
        </w:rPr>
      </w:pPr>
      <w:r>
        <w:rPr>
          <w:rFonts w:ascii="Calibri" w:hAnsi="Calibri"/>
          <w:b w:val="1"/>
          <w:noProof w:val="1"/>
          <w:sz w:val="20"/>
        </w:rPr>
        <w:t>Općina</w:t>
      </w:r>
      <w:r>
        <w:rPr>
          <w:rFonts w:ascii="Calibri" w:hAnsi="Calibri"/>
          <w:b w:val="1"/>
          <w:noProof w:val="1"/>
          <w:sz w:val="20"/>
        </w:rPr>
        <w:t xml:space="preserve"> </w:t>
      </w:r>
      <w:r>
        <w:rPr>
          <w:rFonts w:ascii="Calibri" w:hAnsi="Calibri"/>
          <w:b w:val="1"/>
          <w:noProof w:val="1"/>
          <w:sz w:val="20"/>
        </w:rPr>
        <w:t>Hum</w:t>
      </w:r>
      <w:r>
        <w:rPr>
          <w:rFonts w:ascii="Calibri" w:hAnsi="Calibri"/>
          <w:b w:val="1"/>
          <w:noProof w:val="1"/>
          <w:sz w:val="20"/>
        </w:rPr>
        <w:t xml:space="preserve"> </w:t>
      </w:r>
      <w:r>
        <w:rPr>
          <w:rFonts w:ascii="Calibri" w:hAnsi="Calibri"/>
          <w:b w:val="1"/>
          <w:noProof w:val="1"/>
          <w:sz w:val="20"/>
        </w:rPr>
        <w:t>na</w:t>
      </w:r>
      <w:r>
        <w:rPr>
          <w:rFonts w:ascii="Calibri" w:hAnsi="Calibri"/>
          <w:b w:val="1"/>
          <w:sz w:val="20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0"/>
        </w:rPr>
      </w:pPr>
      <w:r>
        <w:rPr>
          <w:rFonts w:ascii="Calibri" w:hAnsi="Calibri"/>
          <w:b w:val="1"/>
          <w:noProof w:val="1"/>
          <w:color w:val="000000"/>
          <w:sz w:val="20"/>
        </w:rPr>
        <w:t>Općinski</w:t>
      </w:r>
      <w:r>
        <w:rPr>
          <w:rFonts w:ascii="Calibri" w:hAnsi="Calibri"/>
          <w:b w:val="1"/>
          <w:noProof w:val="1"/>
          <w:color w:val="000000"/>
          <w:sz w:val="20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0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0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0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KLASA: </w:t>
      </w:r>
      <w:r>
        <w:rPr>
          <w:rFonts w:ascii="Calibri" w:hAnsi="Calibri"/>
          <w:sz w:val="20"/>
        </w:rPr>
        <w:t>400-01/24-01/37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URBROJ: </w:t>
      </w:r>
      <w:r>
        <w:rPr>
          <w:rFonts w:ascii="Calibri" w:hAnsi="Calibri"/>
          <w:noProof w:val="1"/>
          <w:sz w:val="20"/>
        </w:rPr>
        <w:t>2140-14-01-24-19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0"/>
        </w:rPr>
      </w:pPr>
      <w:r>
        <w:rPr>
          <w:rFonts w:ascii="Calibri" w:hAnsi="Calibri"/>
          <w:noProof w:val="1"/>
          <w:sz w:val="20"/>
        </w:rPr>
        <w:t>Hum</w:t>
      </w:r>
      <w:r>
        <w:rPr>
          <w:rFonts w:ascii="Calibri" w:hAnsi="Calibri"/>
          <w:noProof w:val="1"/>
          <w:sz w:val="20"/>
        </w:rPr>
        <w:t xml:space="preserve"> </w:t>
      </w:r>
      <w:r>
        <w:rPr>
          <w:rFonts w:ascii="Calibri" w:hAnsi="Calibri"/>
          <w:noProof w:val="1"/>
          <w:sz w:val="20"/>
        </w:rPr>
        <w:t>na</w:t>
      </w:r>
      <w:r>
        <w:rPr>
          <w:rFonts w:ascii="Calibri" w:hAnsi="Calibri"/>
          <w:noProof w:val="1"/>
          <w:sz w:val="20"/>
        </w:rPr>
        <w:t xml:space="preserve"> </w:t>
      </w:r>
      <w:r>
        <w:rPr>
          <w:rFonts w:ascii="Calibri" w:hAnsi="Calibri"/>
          <w:noProof w:val="1"/>
          <w:sz w:val="20"/>
        </w:rPr>
        <w:t>Sutli</w:t>
      </w:r>
      <w:r>
        <w:rPr>
          <w:rFonts w:ascii="Calibri" w:hAnsi="Calibri"/>
          <w:sz w:val="20"/>
        </w:rPr>
        <w:t xml:space="preserve">, </w:t>
      </w:r>
      <w:r>
        <w:rPr>
          <w:rFonts w:ascii="Calibri" w:hAnsi="Calibri"/>
          <w:noProof w:val="1"/>
          <w:sz w:val="20"/>
        </w:rPr>
        <w:t>16</w:t>
      </w:r>
      <w:r>
        <w:rPr>
          <w:rFonts w:ascii="Calibri" w:hAnsi="Calibri"/>
          <w:noProof w:val="1"/>
          <w:sz w:val="20"/>
        </w:rPr>
        <w:t>.</w:t>
      </w:r>
      <w:r>
        <w:rPr>
          <w:rFonts w:ascii="Calibri" w:hAnsi="Calibri"/>
          <w:noProof w:val="1"/>
          <w:sz w:val="20"/>
        </w:rPr>
        <w:t xml:space="preserve"> </w:t>
      </w:r>
      <w:r>
        <w:rPr>
          <w:rFonts w:ascii="Calibri" w:hAnsi="Calibri"/>
          <w:noProof w:val="1"/>
          <w:sz w:val="20"/>
        </w:rPr>
        <w:t>prosinca</w:t>
      </w:r>
      <w:r>
        <w:rPr>
          <w:rFonts w:ascii="Calibri" w:hAnsi="Calibri"/>
          <w:noProof w:val="1"/>
          <w:sz w:val="20"/>
        </w:rPr>
        <w:t xml:space="preserve"> </w:t>
      </w:r>
      <w:r>
        <w:rPr>
          <w:rFonts w:ascii="Calibri" w:hAnsi="Calibri"/>
          <w:sz w:val="20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0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0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Temeljem Zakona o socijalnoj skrbi („Narodne novine“ br. 18/22, 46/22, 119/22, 71/23, 156/23), članka 2. Odluke o socijalnoj skrbi općine Hum na Sutli („Službeni glasnik Krapinsko-zagorske županije“ br. 17/12, 27/13, 51/22)  i članka 30. Statuta Općine Hum na Sutli («Službeni glasnik Krapinsko-zagorske županije» br. 9/21), općinsko vijeće  Općine Hum na Sutli na sjednici održanoj dana 16. prosinca 2024. godine donijelo je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</w:p>
    <w:p>
      <w:pPr>
        <w:jc w:val="center"/>
        <w:spacing w:lineRule="auto" w:line="240" w:after="0" w:beforeAutospacing="0" w:afterAutospacing="0"/>
        <w:ind w:firstLine="708"/>
        <w:pStyle w:val="P0"/>
        <w:rPr>
          <w:rFonts w:ascii="Calibri" w:hAnsi="Calibri"/>
          <w:sz w:val="20"/>
        </w:rPr>
      </w:pPr>
      <w:r>
        <w:rPr>
          <w:rFonts w:ascii="Calibri" w:hAnsi="Calibri"/>
          <w:b w:val="1"/>
          <w:sz w:val="20"/>
        </w:rPr>
        <w:t xml:space="preserve">SOCIJALNI PROGRAM</w:t>
      </w:r>
    </w:p>
    <w:p>
      <w:pPr>
        <w:jc w:val="center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0"/>
        </w:rPr>
        <w:t xml:space="preserve">Općine Hum na Sutli za 2025. godinu</w:t>
      </w:r>
    </w:p>
    <w:p>
      <w:pPr>
        <w:jc w:val="center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0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0"/>
        </w:rPr>
        <w:t xml:space="preserve">Članak 1.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 xml:space="preserve">Socijalnim programom općine Hum na Sutli za 2025. godinu određuje se financiranje javnih potreba u socijalnoj skrbi.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0"/>
        </w:rPr>
        <w:t xml:space="preserve">Članak 2.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 xml:space="preserve">Socijalnim programom Općine Hum na Sutli obuhvaćeno je financiranje: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154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>Konto</w:t>
            </w:r>
          </w:p>
        </w:tc>
        <w:tc>
          <w:tcPr>
            <w:tcW w:w="154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>Opis</w:t>
            </w:r>
          </w:p>
        </w:tc>
        <w:tc>
          <w:tcPr>
            <w:tcW w:w="197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 xml:space="preserve">Plan 2025. (€)</w:t>
            </w:r>
          </w:p>
        </w:tc>
        <w:tc>
          <w:tcPr>
            <w:tcW w:w="1842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 xml:space="preserve">Projekcija 2026. (€)</w:t>
            </w:r>
          </w:p>
        </w:tc>
        <w:tc>
          <w:tcPr>
            <w:tcW w:w="198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76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color w:val="000000"/>
                <w:sz w:val="16"/>
              </w:rPr>
              <w:t xml:space="preserve">Projekcija 2027. (€)</w:t>
            </w:r>
          </w:p>
        </w:tc>
      </w:tr>
    </w:tbl>
    <w:p>
      <w:pPr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vanish w:val="1"/>
          <w:sz w:val="16"/>
        </w:rPr>
        <w:t xml:space="preserve"> </w:t>
      </w:r>
    </w:p>
    <w:tbl>
      <w:tblPr>
        <w:tblStyle w:val="T0"/>
        <w:tblInd w:w="0" w:type="dxa"/>
        <w:tblLayout w:type="fixed"/>
        <w:tblW w:w="8938" w:type="dxa"/>
      </w:tblPr>
      <w:tblGrid/>
      <w:tr>
        <w:tc>
          <w:tcPr>
            <w:tcW w:w="6204" w:type="dxa"/>
            <w:gridSpan w:val="5"/>
            <w:tcBorders>
              <w:top w:val="single" w:sz="6" w:space="0" w:shadow="0" w:frame="0"/>
              <w:left w:val="single" w:sz="6" w:space="0" w:shadow="0" w:frame="0"/>
              <w:bottom w:val="single" w:sz="0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Aktivnosti A 100001 ZBRINJAVANJE SOCIJALNO UGROŽENIH </w:t>
            </w:r>
          </w:p>
        </w:tc>
        <w:tc>
          <w:tcPr>
            <w:tcW w:w="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013" w:type="dxa"/>
            <w:gridSpan w:val="7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  <w:shd w:val="clear" w:color="auto" w:fill="ffff00"/>
              </w:rPr>
              <w:t xml:space="preserve"> </w:t>
            </w:r>
          </w:p>
        </w:tc>
      </w:tr>
      <w:tr>
        <w:tc>
          <w:tcPr>
            <w:tcW w:w="3090" w:type="dxa"/>
            <w:gridSpan w:val="2"/>
            <w:tcBorders>
              <w:top w:val="single" w:sz="0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IZVOR 11. OPĆI PRIHODI I PRIMICI </w:t>
            </w:r>
          </w:p>
        </w:tc>
        <w:tc>
          <w:tcPr>
            <w:tcW w:w="1985" w:type="dxa"/>
            <w:tcBorders>
              <w:top w:val="nil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  <w:shd w:val="clear" w:color="auto" w:fill="ffff00"/>
              </w:rPr>
              <w:t xml:space="preserve"> </w:t>
            </w:r>
          </w:p>
        </w:tc>
      </w:tr>
      <w:tr>
        <w:tc>
          <w:tcPr>
            <w:tcW w:w="8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>372121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Pomoć socijalno ugroženim u novcu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4.000,00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4.000,00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4.000,00</w:t>
            </w:r>
          </w:p>
        </w:tc>
      </w:tr>
      <w:tr>
        <w:tc>
          <w:tcPr>
            <w:tcW w:w="8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>37223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Stanovanje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2.000,00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2.000,00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2.000,00</w:t>
            </w:r>
          </w:p>
        </w:tc>
      </w:tr>
      <w:tr>
        <w:tc>
          <w:tcPr>
            <w:tcW w:w="8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>372124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Pogrebni troškovi socijalno ugroženih osoba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1.000,00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1.000,00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1.000,00</w:t>
            </w:r>
          </w:p>
        </w:tc>
      </w:tr>
      <w:tr>
        <w:tc>
          <w:tcPr>
            <w:tcW w:w="8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  <w:shd w:val="clear" w:color="auto" w:fill="ffff00"/>
              </w:rPr>
              <w:t xml:space="preserve"> </w:t>
            </w:r>
          </w:p>
        </w:tc>
      </w:tr>
      <w:tr>
        <w:tc>
          <w:tcPr>
            <w:tcW w:w="8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>372190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Ostale socijalne potpore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10.000,00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10.000,00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10.000,00</w:t>
            </w:r>
          </w:p>
        </w:tc>
      </w:tr>
      <w:tr>
        <w:tc>
          <w:tcPr>
            <w:tcW w:w="8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>372242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Prehrana, odjeća i obuća socijalno ugroženim osobama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6.500,00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6.500,00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6.500,00</w:t>
            </w:r>
          </w:p>
        </w:tc>
      </w:tr>
      <w:tr>
        <w:tc>
          <w:tcPr>
            <w:tcW w:w="3090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IZVOR 11. OPĆI PRIHODI I PRIMICI 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  <w:shd w:val="clear" w:color="auto" w:fill="ffff00"/>
              </w:rPr>
              <w:t xml:space="preserve"> </w:t>
            </w:r>
          </w:p>
        </w:tc>
      </w:tr>
      <w:tr>
        <w:tc>
          <w:tcPr>
            <w:tcW w:w="8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>372123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Pomoć novorođenim Humčankama i Humčanima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27.000,00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27.000,00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27.000,00</w:t>
            </w:r>
          </w:p>
        </w:tc>
      </w:tr>
      <w:tr>
        <w:tc>
          <w:tcPr>
            <w:tcW w:w="8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>372128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Pomoć elementarno ugroženim osobama-elementarne nepogode 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6.000,00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6.000,00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6.000,00</w:t>
            </w:r>
          </w:p>
        </w:tc>
      </w:tr>
      <w:tr>
        <w:tc>
          <w:tcPr>
            <w:tcW w:w="6065" w:type="dxa"/>
            <w:gridSpan w:val="4"/>
            <w:tcBorders>
              <w:left w:val="single" w:sz="6" w:space="0" w:shadow="0" w:frame="0"/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Aktivnosti A 100003 STIPENDIJE I PRIJEVOZ UČENIKA</w:t>
            </w:r>
          </w:p>
        </w:tc>
        <w:tc>
          <w:tcPr>
            <w:tcW w:w="5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9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  <w:shd w:val="clear" w:color="auto" w:fill="ffff00"/>
              </w:rPr>
              <w:t xml:space="preserve"> </w:t>
            </w:r>
          </w:p>
        </w:tc>
      </w:tr>
      <w:tr>
        <w:tc>
          <w:tcPr>
            <w:tcW w:w="3090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IZVOR 11. OPĆI PRIHODI I PRIMICI 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  <w:shd w:val="clear" w:color="auto" w:fill="ffff00"/>
              </w:rPr>
              <w:t xml:space="preserve"> </w:t>
            </w:r>
          </w:p>
        </w:tc>
      </w:tr>
      <w:tr>
        <w:tc>
          <w:tcPr>
            <w:tcW w:w="8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>37215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Stipendije, nagrade učenicima i studentima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50.000,00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50.000,00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50.000,00</w:t>
            </w:r>
          </w:p>
        </w:tc>
      </w:tr>
      <w:tr>
        <w:tc>
          <w:tcPr>
            <w:tcW w:w="8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>37221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Sufinanciranje cijene prijevoza 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28.000,00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28.000,00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28.000,00</w:t>
            </w:r>
          </w:p>
        </w:tc>
      </w:tr>
      <w:tr>
        <w:tc>
          <w:tcPr>
            <w:tcW w:w="3090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IZVOR 11. OPĆI PRIHODI I PRIMICI 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  <w:shd w:val="clear" w:color="auto" w:fill="ffff00"/>
              </w:rPr>
              <w:t xml:space="preserve"> </w:t>
            </w:r>
          </w:p>
        </w:tc>
      </w:tr>
      <w:tr>
        <w:tc>
          <w:tcPr>
            <w:tcW w:w="8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>372291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Pokloni djeci za Božić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11.000,00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12.000,00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12.000,00</w:t>
            </w:r>
          </w:p>
        </w:tc>
      </w:tr>
      <w:tr>
        <w:tc>
          <w:tcPr>
            <w:tcW w:w="7915" w:type="dxa"/>
            <w:gridSpan w:val="9"/>
            <w:tcBorders>
              <w:left w:val="single" w:sz="6" w:space="0" w:shadow="0" w:frame="0"/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Aktivnosti A 100005 JEDNOKRATNE POMOĆI UMIROVLJENICIMA -BOŽIĆNICA</w:t>
            </w:r>
          </w:p>
        </w:tc>
        <w:tc>
          <w:tcPr>
            <w:tcW w:w="2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455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  <w:shd w:val="clear" w:color="auto" w:fill="ffff00"/>
              </w:rPr>
              <w:t xml:space="preserve"> </w:t>
            </w:r>
          </w:p>
        </w:tc>
      </w:tr>
      <w:tr>
        <w:tc>
          <w:tcPr>
            <w:tcW w:w="3090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IZVOR 11. OPĆI PRIHODI I PRIMICI 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  <w:shd w:val="clear" w:color="auto" w:fill="ffff00"/>
              </w:rPr>
              <w:t xml:space="preserve"> </w:t>
            </w:r>
          </w:p>
        </w:tc>
      </w:tr>
      <w:tr>
        <w:tc>
          <w:tcPr>
            <w:tcW w:w="8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>372294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Poklon umirovljenicima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15.000,00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15.000,00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15.000,00</w:t>
            </w:r>
          </w:p>
        </w:tc>
      </w:tr>
      <w:tr>
        <w:tc>
          <w:tcPr>
            <w:tcW w:w="7915" w:type="dxa"/>
            <w:gridSpan w:val="9"/>
            <w:tcBorders>
              <w:left w:val="single" w:sz="6" w:space="0" w:shadow="0" w:frame="0"/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Aktivnosti A 100007 SUFINANCIRANJE NABAVKE UDŽBENIKA/RADNH BILJEŽNICA </w:t>
            </w:r>
          </w:p>
        </w:tc>
        <w:tc>
          <w:tcPr>
            <w:tcW w:w="2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455" w:type="dxa"/>
            <w:gridSpan w:val="2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  <w:shd w:val="clear" w:color="auto" w:fill="ffff00"/>
              </w:rPr>
              <w:t xml:space="preserve"> </w:t>
            </w:r>
          </w:p>
        </w:tc>
      </w:tr>
      <w:tr>
        <w:tc>
          <w:tcPr>
            <w:tcW w:w="3090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IZVOR 11. OPĆI PRIHODI I PRIMICI 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  <w:shd w:val="clear" w:color="auto" w:fill="ffff00"/>
              </w:rPr>
              <w:t xml:space="preserve"> </w:t>
            </w:r>
          </w:p>
        </w:tc>
      </w:tr>
      <w:tr>
        <w:tc>
          <w:tcPr>
            <w:tcW w:w="8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>37229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Ostale naknade iz proračuna u naravi – sufinanciranje nabavke radnih bilježnica 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11.100,00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11.100,00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11.100,00</w:t>
            </w:r>
          </w:p>
        </w:tc>
      </w:tr>
      <w:tr>
        <w:tc>
          <w:tcPr>
            <w:tcW w:w="8050" w:type="dxa"/>
            <w:gridSpan w:val="10"/>
            <w:tcBorders>
              <w:left w:val="single" w:sz="6" w:space="0" w:shadow="0" w:frame="0"/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Aktivnosti A 100007 SUFINANCIRANJE NABAVKE UDŽBENIKA/RADNH BILJEŽNICA</w:t>
            </w:r>
          </w:p>
        </w:tc>
        <w:tc>
          <w:tcPr>
            <w:tcW w:w="2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32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</w:tr>
      <w:tr>
        <w:tc>
          <w:tcPr>
            <w:tcW w:w="3090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IZVOR 43. PRIHODI ZA POSEBNE NAMJENE 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</w:tr>
      <w:tr>
        <w:tc>
          <w:tcPr>
            <w:tcW w:w="8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>37229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Ostale naknade iz proračuna u naravi – sufinanciranje nabavke radnih bilježnica 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11.100,00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1.100,00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11.100,00</w:t>
            </w:r>
          </w:p>
        </w:tc>
      </w:tr>
      <w:tr>
        <w:tc>
          <w:tcPr>
            <w:tcW w:w="8050" w:type="dxa"/>
            <w:gridSpan w:val="10"/>
            <w:tcBorders>
              <w:left w:val="single" w:sz="6" w:space="0" w:shadow="0" w:frame="0"/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Aktivnosti A 100009 MJERA ZA POMOĆ PRI RJEŠAVANJU STAMBENOG PITANJA</w:t>
            </w:r>
          </w:p>
        </w:tc>
        <w:tc>
          <w:tcPr>
            <w:tcW w:w="2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32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</w:tr>
      <w:tr>
        <w:tc>
          <w:tcPr>
            <w:tcW w:w="3090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IZVOR 11. OPĆI PRIHODI I PRIMICI 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</w:tr>
      <w:tr>
        <w:tc>
          <w:tcPr>
            <w:tcW w:w="8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>372126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Pomoć obiteljima i kućanstvima – mjere za pomoć pri rješavanju stambenog pitanja 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80.000,00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80.000,00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80.000,00</w:t>
            </w:r>
          </w:p>
        </w:tc>
      </w:tr>
      <w:tr>
        <w:tc>
          <w:tcPr>
            <w:tcW w:w="8050" w:type="dxa"/>
            <w:gridSpan w:val="10"/>
            <w:tcBorders>
              <w:left w:val="single" w:sz="6" w:space="0" w:shadow="0" w:frame="0"/>
              <w:bottom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Aktivnosti A 100010 MJERA ZA POMOĆ PRI RJEŠAVANJU STAMBENOG PITANJA</w:t>
            </w:r>
          </w:p>
        </w:tc>
        <w:tc>
          <w:tcPr>
            <w:tcW w:w="2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320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</w:tr>
      <w:tr>
        <w:tc>
          <w:tcPr>
            <w:tcW w:w="3090" w:type="dxa"/>
            <w:gridSpan w:val="2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IZVOR 11. OPĆI PRIHODI I PRIMICI 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 xml:space="preserve"> </w:t>
            </w:r>
          </w:p>
        </w:tc>
      </w:tr>
      <w:tr>
        <w:tc>
          <w:tcPr>
            <w:tcW w:w="8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b w:val="1"/>
                <w:sz w:val="16"/>
              </w:rPr>
              <w:t>372126</w:t>
            </w:r>
          </w:p>
        </w:tc>
        <w:tc>
          <w:tcPr>
            <w:tcW w:w="226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Pomoć obiteljima i kućanstvima – mjere za pomoć pri rješavanju stambenog pitanja – adaptacija stambenog prostora </w:t>
            </w:r>
          </w:p>
        </w:tc>
        <w:tc>
          <w:tcPr>
            <w:tcW w:w="198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32.000,00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</w:tc>
        <w:tc>
          <w:tcPr>
            <w:tcW w:w="1850" w:type="dxa"/>
            <w:gridSpan w:val="5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32.000,00</w:t>
            </w:r>
          </w:p>
        </w:tc>
        <w:tc>
          <w:tcPr>
            <w:tcW w:w="2013" w:type="dxa"/>
            <w:gridSpan w:val="7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16"/>
              </w:rPr>
              <w:t>32.000,00</w:t>
            </w:r>
          </w:p>
        </w:tc>
      </w:tr>
      <w:tr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2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0"/>
        </w:rPr>
        <w:t xml:space="preserve">Članak 3.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 xml:space="preserve">Financijska sredstva iz članka 2. Socijalnog programa Općine Hum na Sutli za 2025. godinu osiguravaju se u Proračunu Općine Hum na Sutli za 2025. godinu. Sredstva su osigurana u Programu 1010 – Socijalna zaštita u razdjelu 001. Opće javne usluge. 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0"/>
        </w:rPr>
        <w:t xml:space="preserve">Članak 4.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 xml:space="preserve">Kriteriji i način ostvarivanja prava iz ovog Programa propisani su posebnom Odlukom.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0"/>
        </w:rPr>
        <w:t xml:space="preserve">Točka 5.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ab/>
        <w:t xml:space="preserve">Program će se objaviti u «Službenom glasniku Krapinsko-zagorske županije» i stupa na snagu 1. siječnja 2025. godine.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 xml:space="preserve"> </w:t>
      </w:r>
    </w:p>
    <w:p>
      <w:pPr>
        <w:jc w:val="both"/>
        <w:spacing w:lineRule="auto" w:line="240" w:beforeAutospacing="0" w:afterAutospacing="0"/>
        <w:ind w:firstLine="708" w:left="3828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sz w:val="20"/>
        </w:rPr>
        <w:t xml:space="preserve">  </w:t>
      </w:r>
      <w:r>
        <w:rPr>
          <w:rFonts w:ascii="Calibri" w:hAnsi="Calibri"/>
          <w:b w:val="1"/>
          <w:sz w:val="20"/>
        </w:rPr>
        <w:t xml:space="preserve">PREDSJEDNIK  OPĆINSKOG VIJEĆA</w:t>
      </w:r>
    </w:p>
    <w:p>
      <w:pPr>
        <w:jc w:val="both"/>
        <w:spacing w:lineRule="auto" w:line="240" w:beforeAutospacing="0" w:afterAutospacing="0"/>
        <w:ind w:firstLine="72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0"/>
        </w:rPr>
        <w:tab/>
        <w:t xml:space="preserve">   </w:t>
        <w:tab/>
        <w:tab/>
        <w:tab/>
        <w:tab/>
        <w:tab/>
        <w:t xml:space="preserve">     Mario Antonić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Calibri" w:hAnsi="Calibri"/>
          <w:b w:val="1"/>
          <w:sz w:val="20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SLUŽBENI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GLASNIK KRAPINSKO-ZAGORSKE ŽUPANIJE, Magistratska 1, KRAPINA, 49000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2024-12-23T08:20:29Z</dcterms:created>
  <dcterms:modified xsi:type="dcterms:W3CDTF">2024-12-23T08:20:29Z</dcterms:modified>
</cp:coreProperties>
</file>