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2140-14-01-24-10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12. Zakona o financiranju vodnog gospodarstva („Narodne novine“ br. 153/09., 90/11, 56/13, 154/14, 119/15, 120/16, 127/17, 66/19, 36/24) i članka 30. Statuta Općine Hum na Sutli („Službeni glasnik Krapinsko-zagorske županije“ br. 9/21) općinsko vijeće Općine Hum na Sutli na sjednici održanoj 16. prosinca 2024. godine donijelo je slijedeći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PROGRAM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korištenja sredstva ostvarenih od vodnog doprinosa za 2025. godinu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I.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Ovim Programom korištenja sredstava ostvarenih od vodnog doprinosa za 2025. godinu (u daljnjem tekstu: Program) utvrđuje se namjena trošenja sredstava ostvarenih kao prihod Proračuna općine Hum na Sutli za 2025. godinu po osnovi vodnog doprinosa.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II.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Programom korištenja sredstava ostvarenih od vodnog doprinosa za 2025. godinu obuhvaćeno je financiranje: </w:t>
      </w:r>
    </w:p>
    <w:tbl>
      <w:tblPr>
        <w:tblStyle w:val="T0"/>
        <w:tblInd w:w="0" w:type="dxa"/>
        <w:tblLayout w:type="autofit"/>
        <w:tblW w:w="9493" w:type="dxa"/>
      </w:tblPr>
      <w:tblGrid/>
      <w:tr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Konto</w:t>
            </w:r>
          </w:p>
        </w:tc>
        <w:tc>
          <w:tcPr>
            <w:tcW w:w="18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Opis</w:t>
            </w:r>
          </w:p>
        </w:tc>
        <w:tc>
          <w:tcPr>
            <w:tcW w:w="212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2025. (€)</w:t>
            </w:r>
          </w:p>
        </w:tc>
        <w:tc>
          <w:tcPr>
            <w:tcW w:w="212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2026. (€)</w:t>
            </w:r>
          </w:p>
        </w:tc>
        <w:tc>
          <w:tcPr>
            <w:tcW w:w="18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2027. (€)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vanish w:val="1"/>
          <w:sz w:val="22"/>
        </w:rPr>
        <w:t xml:space="preserve"> </w:t>
      </w:r>
    </w:p>
    <w:tbl>
      <w:tblPr>
        <w:tblStyle w:val="T0"/>
        <w:tblInd w:w="0" w:type="dxa"/>
        <w:tblLayout w:type="autofit"/>
        <w:tblW w:w="9493" w:type="dxa"/>
      </w:tblPr>
      <w:tblGrid/>
      <w:tr>
        <w:tc>
          <w:tcPr>
            <w:tcW w:w="9493" w:type="dxa"/>
            <w:gridSpan w:val="7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65221</w:t>
            </w:r>
            <w:r>
              <w:rPr>
                <w:rFonts w:ascii="Calibri" w:hAnsi="Calibri"/>
                <w:b w:val="1"/>
                <w:sz w:val="22"/>
              </w:rPr>
              <w:tab/>
            </w:r>
            <w:r>
              <w:rPr>
                <w:rFonts w:ascii="Calibri" w:hAnsi="Calibri"/>
                <w:b w:val="1"/>
                <w:sz w:val="22"/>
              </w:rPr>
              <w:t xml:space="preserve"> Vodni doprinos</w:t>
            </w:r>
            <w:r>
              <w:rPr>
                <w:rFonts w:ascii="Calibri" w:hAnsi="Calibri"/>
                <w:b w:val="1"/>
                <w:sz w:val="22"/>
              </w:rPr>
              <w:tab/>
            </w:r>
            <w:r>
              <w:rPr>
                <w:rFonts w:ascii="Calibri" w:hAnsi="Calibri"/>
                <w:b w:val="1"/>
                <w:sz w:val="22"/>
              </w:rPr>
              <w:tab/>
            </w:r>
            <w:r>
              <w:rPr>
                <w:rFonts w:ascii="Calibri" w:hAnsi="Calibri"/>
                <w:b w:val="1"/>
                <w:sz w:val="22"/>
              </w:rPr>
              <w:t xml:space="preserve"> </w:t>
            </w:r>
            <w:r>
              <w:rPr>
                <w:rFonts w:ascii="Calibri" w:hAnsi="Calibri"/>
                <w:b w:val="1"/>
                <w:sz w:val="22"/>
              </w:rPr>
              <w:tab/>
            </w:r>
          </w:p>
        </w:tc>
      </w:tr>
      <w:tr>
        <w:tc>
          <w:tcPr>
            <w:tcW w:w="9493" w:type="dxa"/>
            <w:gridSpan w:val="7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Aktivnost  A 100001 ODRŽAVANJE CESTA</w:t>
            </w:r>
          </w:p>
        </w:tc>
      </w:tr>
      <w:tr>
        <w:tc>
          <w:tcPr>
            <w:tcW w:w="3377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IZVOR 46. VODNI DOPRINOS </w:t>
            </w:r>
          </w:p>
        </w:tc>
        <w:tc>
          <w:tcPr>
            <w:tcW w:w="2147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33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155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3232132</w:t>
            </w:r>
          </w:p>
        </w:tc>
        <w:tc>
          <w:tcPr>
            <w:tcW w:w="1831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Tekuće i investicijsko održavanje  cesta</w:t>
            </w:r>
          </w:p>
        </w:tc>
        <w:tc>
          <w:tcPr>
            <w:tcW w:w="213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1.000,00</w:t>
            </w:r>
          </w:p>
        </w:tc>
        <w:tc>
          <w:tcPr>
            <w:tcW w:w="212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1.000,00</w:t>
            </w:r>
          </w:p>
        </w:tc>
        <w:tc>
          <w:tcPr>
            <w:tcW w:w="1510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1.000,00</w:t>
            </w:r>
          </w:p>
        </w:tc>
        <w:tc>
          <w:tcPr>
            <w:tcW w:w="33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c>
          <w:tcPr>
            <w:tcW w:w="94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94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94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94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94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9493" w:type="dxa"/>
            <w:tcBorders>
              <w:top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  <w:tc>
          <w:tcPr>
            <w:tcW w:w="94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</w:p>
        </w:tc>
      </w:tr>
    </w:tbl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III.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Financijska sredstva iz članka II. </w:t>
      </w:r>
      <w:r>
        <w:rPr>
          <w:rFonts w:ascii="Calibri" w:hAnsi="Calibri"/>
          <w:sz w:val="22"/>
        </w:rPr>
        <w:t xml:space="preserve">korištenja sredstava ostvarenih od vodnog doprinosa za 2025. godinu </w:t>
      </w:r>
      <w:r>
        <w:rPr>
          <w:rFonts w:ascii="Calibri" w:hAnsi="Calibri"/>
          <w:sz w:val="22"/>
        </w:rPr>
        <w:t xml:space="preserve">osiguravaju se u Proračunu Općine Hum na Sutli za 2025. godinu. Sredstva su osigurana u Programu 1003 Komunalno gospodarstvo u razdjelu 001 Opće javne usluge. 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IV. 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Planirana i raspoređena novčana sredstva iz točke II. Ovog Programa mogu se tijekom godine izmjenama Proračuna za 2025. godinu mijenjati, ovisno o ostvarenju sredstava od vodnog doprinosa.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Calibri" w:hAnsi="Calibri"/>
          <w:sz w:val="22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V.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Ovaj Program objavljuje se u „Službenom glasniku Krapinsko-zagorske županije“. </w:t>
      </w:r>
    </w:p>
    <w:p>
      <w:pPr>
        <w:jc w:val="both"/>
        <w:spacing w:lineRule="auto" w:line="240" w:beforeAutospacing="0" w:afterAutospacing="0"/>
        <w:ind w:firstLine="708" w:left="3828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 w:left="3828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 PREDSJEDNIK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Calibri" w:hAnsi="Calibri"/>
          <w:b w:val="1"/>
          <w:sz w:val="22"/>
        </w:rPr>
      </w:pPr>
    </w:p>
    <w:p>
      <w:pPr>
        <w:jc w:val="both"/>
        <w:spacing w:lineRule="auto" w:line="240" w:beforeAutospacing="0" w:afterAutospacing="0"/>
        <w:ind w:firstLine="720"/>
        <w:pStyle w:val="P0"/>
        <w:rPr>
          <w:rFonts w:ascii="Calibri" w:hAnsi="Calibri"/>
          <w:b w:val="1"/>
          <w:sz w:val="22"/>
        </w:rPr>
      </w:pPr>
    </w:p>
    <w:p>
      <w:pPr>
        <w:jc w:val="both"/>
        <w:spacing w:lineRule="auto" w:line="240" w:beforeAutospacing="0" w:afterAutospacing="0"/>
        <w:ind w:firstLine="720"/>
        <w:pStyle w:val="P0"/>
        <w:rPr>
          <w:rFonts w:ascii="Calibri" w:hAnsi="Calibri"/>
          <w:b w:val="1"/>
          <w:sz w:val="22"/>
        </w:rPr>
      </w:pPr>
    </w:p>
    <w:p>
      <w:pPr>
        <w:jc w:val="both"/>
        <w:spacing w:lineRule="auto" w:line="240" w:beforeAutospacing="0" w:afterAutospacing="0"/>
        <w:ind w:firstLine="72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2024-12-23T07:59:22Z</dcterms:created>
  <dcterms:modified xsi:type="dcterms:W3CDTF">2024-12-23T07:59:22Z</dcterms:modified>
</cp:coreProperties>
</file>