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400-01/24-01/37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2140-14-01-24-7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Na temelju članka 27. stavka 1.  Zakona o prodaji stanova na kojima postoji stanarsko pravo («Narodne novine» broj 43/92-pročišćen tekst, 69/92., 25/93., 26/93., 48/93., 2/94., 29/94., 44/94., 47/94., 58/95., 103/95, 11/96., 11/97., 68/98., 163/98, 22/99,  96/99., 120/00,  94/01. i 78/02.) i članka 30. Statuta Općine Hum na Sutli («Službeni glasnik Krapinsko-zagorske županije» br. 9/21) općinsko vijeće Općine Hum na Sutli na sjednici održanoj 16. prosinca 2024. godine donijelo je slijedeći </w:t>
      </w:r>
      <w:r>
        <w:rPr>
          <w:rFonts w:ascii="Calibri" w:hAnsi="Calibri"/>
          <w:sz w:val="20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>PROGRAM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0"/>
        </w:rPr>
      </w:pPr>
      <w:r>
        <w:rPr>
          <w:rFonts w:ascii="Calibri" w:hAnsi="Calibri"/>
          <w:b w:val="1"/>
          <w:sz w:val="20"/>
        </w:rPr>
        <w:t xml:space="preserve">         korištenja sredstava ostvarenih od prodaje stanova na kojima postoji stanarsko pravo</w:t>
      </w:r>
      <w:r>
        <w:rPr>
          <w:rFonts w:ascii="Calibri" w:hAnsi="Calibri"/>
          <w:b w:val="1"/>
          <w:sz w:val="20"/>
        </w:rPr>
        <w:t xml:space="preserve"> u 2025. godini</w:t>
      </w:r>
    </w:p>
    <w:p>
      <w:pPr>
        <w:jc w:val="center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1.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0"/>
        </w:rPr>
      </w:pPr>
      <w:r>
        <w:rPr>
          <w:rFonts w:ascii="Calibri" w:hAnsi="Calibri"/>
          <w:sz w:val="22"/>
        </w:rPr>
        <w:t xml:space="preserve">Programom korištenja sredstava ostvarenih od prodaje stanova na kojima postoji stanarsko pravo  obuhvaćen</w:t>
      </w:r>
      <w:r>
        <w:rPr>
          <w:rFonts w:ascii="Calibri" w:hAnsi="Calibri"/>
          <w:sz w:val="20"/>
        </w:rPr>
        <w:t xml:space="preserve">o je financiranje: </w:t>
      </w:r>
    </w:p>
    <w:tbl>
      <w:tblPr>
        <w:tblStyle w:val="T0"/>
        <w:tblInd w:w="0" w:type="dxa"/>
        <w:tblLayout w:type="fixed"/>
        <w:tblW w:w="9057" w:type="dxa"/>
      </w:tblPr>
      <w:tblGrid/>
      <w:tr>
        <w:tc>
          <w:tcPr>
            <w:tcW w:w="154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>Konto</w:t>
            </w:r>
          </w:p>
        </w:tc>
        <w:tc>
          <w:tcPr>
            <w:tcW w:w="154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>Opis</w:t>
            </w:r>
          </w:p>
        </w:tc>
        <w:tc>
          <w:tcPr>
            <w:tcW w:w="596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Plan 2025. (€)</w:t>
            </w:r>
          </w:p>
        </w:tc>
      </w:tr>
    </w:tbl>
    <w:p>
      <w:pPr>
        <w:spacing w:lineRule="auto" w:line="240" w:after="0" w:beforeAutospacing="0" w:afterAutospacing="0"/>
        <w:pStyle w:val="P0"/>
        <w:rPr>
          <w:rFonts w:ascii="Calibri" w:hAnsi="Calibri"/>
          <w:sz w:val="20"/>
        </w:rPr>
      </w:pPr>
      <w:r>
        <w:rPr>
          <w:rFonts w:ascii="Times New Roman" w:hAnsi="Times New Roman"/>
          <w:vanish w:val="1"/>
          <w:sz w:val="24"/>
        </w:rPr>
        <w:t xml:space="preserve"> </w:t>
      </w:r>
    </w:p>
    <w:tbl>
      <w:tblPr>
        <w:tblStyle w:val="T0"/>
        <w:tblInd w:w="0" w:type="dxa"/>
        <w:tblLayout w:type="fixed"/>
        <w:tblW w:w="9072" w:type="dxa"/>
      </w:tblPr>
      <w:tblGrid/>
      <w:tr>
        <w:tc>
          <w:tcPr>
            <w:tcW w:w="9059" w:type="dxa"/>
            <w:gridSpan w:val="5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721190 Prihod od prodaje građevinskih objekata</w:t>
            </w:r>
          </w:p>
        </w:tc>
        <w:tc>
          <w:tcPr>
            <w:tcW w:w="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</w:p>
        </w:tc>
      </w:tr>
      <w:tr>
        <w:tc>
          <w:tcPr>
            <w:tcW w:w="9059" w:type="dxa"/>
            <w:gridSpan w:val="5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Aktivnost A 100001 ODRŽAVANJE GRAĐEVINSKIH OBJEKATA</w:t>
            </w:r>
          </w:p>
        </w:tc>
        <w:tc>
          <w:tcPr>
            <w:tcW w:w="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</w:p>
        </w:tc>
      </w:tr>
      <w:tr>
        <w:tc>
          <w:tcPr>
            <w:tcW w:w="3540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IZVOR 711. PRIHOD OD PRODAJE STANOVA NA KOJIMA POSTOJI STANARSKO PRAVO</w:t>
            </w:r>
          </w:p>
        </w:tc>
        <w:tc>
          <w:tcPr>
            <w:tcW w:w="3825" w:type="dxa"/>
            <w:tcBorders>
              <w:bottom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</w:p>
        </w:tc>
        <w:tc>
          <w:tcPr>
            <w:tcW w:w="1482" w:type="dxa"/>
            <w:tcBorders>
              <w:bottom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c>
          <w:tcPr>
            <w:tcW w:w="99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>32347</w:t>
            </w:r>
          </w:p>
        </w:tc>
        <w:tc>
          <w:tcPr>
            <w:tcW w:w="255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Pričuva</w:t>
            </w:r>
          </w:p>
        </w:tc>
        <w:tc>
          <w:tcPr>
            <w:tcW w:w="3825" w:type="dxa"/>
            <w:tcBorders>
              <w:top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</w:p>
        </w:tc>
        <w:tc>
          <w:tcPr>
            <w:tcW w:w="1482" w:type="dxa"/>
            <w:tcBorders>
              <w:top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w="9059" w:type="dxa"/>
            <w:gridSpan w:val="5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 xml:space="preserve">Aktivnost A 100001 ZBRINJAVANJE SOCIJALNO UGROŽENIH</w:t>
            </w:r>
          </w:p>
        </w:tc>
        <w:tc>
          <w:tcPr>
            <w:tcW w:w="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</w:p>
        </w:tc>
      </w:tr>
      <w:tr>
        <w:tc>
          <w:tcPr>
            <w:tcW w:w="99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>372121</w:t>
            </w:r>
          </w:p>
        </w:tc>
        <w:tc>
          <w:tcPr>
            <w:tcW w:w="2550" w:type="dxa"/>
            <w:tcBorders>
              <w:bottom w:val="single" w:sz="24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Pomoć socijalno ugroženima u novcu</w:t>
            </w:r>
          </w:p>
        </w:tc>
        <w:tc>
          <w:tcPr>
            <w:tcW w:w="3825" w:type="dxa"/>
            <w:tcBorders>
              <w:bottom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</w:p>
        </w:tc>
        <w:tc>
          <w:tcPr>
            <w:tcW w:w="1482" w:type="dxa"/>
            <w:tcBorders>
              <w:bottom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</w:p>
        </w:tc>
        <w:tc>
          <w:tcPr>
            <w:tcW w:w="225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</w:p>
        </w:tc>
      </w:tr>
      <w:tr>
        <w:tc>
          <w:tcPr>
            <w:tcW w:w="99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>372122</w:t>
            </w:r>
          </w:p>
        </w:tc>
        <w:tc>
          <w:tcPr>
            <w:tcW w:w="255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Jednokratne novčane pomoći Hrvatskim braniteljima</w:t>
            </w:r>
          </w:p>
        </w:tc>
        <w:tc>
          <w:tcPr>
            <w:tcW w:w="3825" w:type="dxa"/>
            <w:tcBorders>
              <w:top w:val="single" w:sz="6" w:space="0" w:shadow="0" w:frame="0"/>
              <w:bottom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</w:p>
        </w:tc>
        <w:tc>
          <w:tcPr>
            <w:tcW w:w="1482" w:type="dxa"/>
            <w:tcBorders>
              <w:top w:val="single" w:sz="6" w:space="0" w:shadow="0" w:frame="0"/>
              <w:bottom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</w:p>
        </w:tc>
        <w:tc>
          <w:tcPr>
            <w:tcW w:w="225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</w:p>
        </w:tc>
      </w:tr>
      <w:tr>
        <w:tc>
          <w:tcPr>
            <w:tcW w:w="99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>372242</w:t>
            </w:r>
          </w:p>
        </w:tc>
        <w:tc>
          <w:tcPr>
            <w:tcW w:w="255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Prehrana, odjeća i obuća socijalno ugroženima</w:t>
            </w:r>
          </w:p>
        </w:tc>
        <w:tc>
          <w:tcPr>
            <w:tcW w:w="3825" w:type="dxa"/>
            <w:tcBorders>
              <w:top w:val="single" w:sz="6" w:space="0" w:shadow="0" w:frame="0"/>
              <w:bottom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900,00</w:t>
            </w:r>
          </w:p>
        </w:tc>
        <w:tc>
          <w:tcPr>
            <w:tcW w:w="1482" w:type="dxa"/>
            <w:tcBorders>
              <w:top w:val="single" w:sz="6" w:space="0" w:shadow="0" w:frame="0"/>
              <w:bottom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0"/>
              </w:rPr>
            </w:pP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0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0"/>
        </w:rPr>
        <w:t xml:space="preserve"> </w:t>
      </w:r>
    </w:p>
    <w:p>
      <w:pPr>
        <w:jc w:val="center"/>
        <w:spacing w:lineRule="auto" w:line="240" w:beforeAutospacing="0" w:afterAutospacing="0"/>
        <w:ind w:firstLine="0" w:left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 w:val="1"/>
          <w:sz w:val="20"/>
        </w:rPr>
        <w:t xml:space="preserve">Članak 2.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 U Proračun se uplaćuju novčana sredstva od prodaje stanova na kojima postoji stanarsko pravo.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 Na ime prodaje stanova od ukupno uplaćenih sredstava, 55% doznačuje se u državni Proračun, a 45% polaže se na žiro račun Proračuna općine Hum na Sutli.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0"/>
        </w:rPr>
        <w:t xml:space="preserve">Članak 3.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 xml:space="preserve">Financijska sredstva iz članka 1. Programa korištenja sredstava ostvarenih od prodaje stanova na kojima postoji stanarsko pravo Općine Hum na Sutli za 2025. godinu osiguravaju se u Proračunu Općine Hum na Sutli za 2025. godinu. Sredstva su osigurana u Programu 1004 Izgradnja komunalne infrastrukture i građevinskih objekata i Programu 1010 Socijalna zaštita u razdjelu 001 Opće javne usluge.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0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0"/>
        </w:rPr>
        <w:t xml:space="preserve">Članak 4.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 xml:space="preserve">Sredstva iz članka 1. ovog Programa namjenski će se utrošiti sukladno zakonskim odredbama u korist rješavanja stambenih pitanja socijalno ugroženih osoba s područja Općine Hum na Sutli.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0"/>
        </w:rPr>
        <w:t xml:space="preserve">Članak 5.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 xml:space="preserve">Ovaj Program objavljuje se u „Službenom glasniku Krapinsko-zagorske županije“.  </w:t>
      </w:r>
      <w:r>
        <w:rPr>
          <w:rFonts w:ascii="Calibri" w:hAnsi="Calibri"/>
          <w:sz w:val="20"/>
        </w:rPr>
        <w:tab/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 </w:t>
      </w:r>
    </w:p>
    <w:p>
      <w:pPr>
        <w:jc w:val="both"/>
        <w:spacing w:lineRule="auto" w:line="240" w:beforeAutospacing="0" w:afterAutospacing="0"/>
        <w:ind w:firstLine="708" w:left="2552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      PREDSJEDNIK OPĆINSKOG VIJEĆA</w:t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 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2024-12-23T08:02:30Z</dcterms:created>
  <dcterms:modified xsi:type="dcterms:W3CDTF">2024-12-23T08:02:30Z</dcterms:modified>
</cp:coreProperties>
</file>