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31. stavak 2. Zakona o postupanju s nezakonito izgrađenim zgradama („Narodne novine“ br. 86/12, 143/13, 65/17, 14/19) i članka 30. Statuta općine Hum na Sutli („Službeni glasnik Krapinsko-zagorske županije“ br. 9/21) općinsko vijeće općine Hum na Sutli na sjednici održanoj 16. prosinca 2024. godine donijelo je slijedeći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P R O G R A M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korištenja sredstava ostvarenih  prihoda od </w:t>
      </w:r>
      <w:r>
        <w:rPr>
          <w:rFonts w:ascii="Calibri" w:hAnsi="Calibri"/>
          <w:b w:val="1"/>
          <w:sz w:val="22"/>
        </w:rPr>
        <w:t xml:space="preserve">naknada za zadržavanje nezakonito izgrađenih zgrada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Programom korištenja sredstava od naknada za zadržavanje nezakonito izgrađenih zgrada za 2025. godinu obuhvaćeno je financiranje: </w:t>
      </w:r>
    </w:p>
    <w:tbl>
      <w:tblPr>
        <w:tblStyle w:val="T0"/>
        <w:tblInd w:w="570" w:type="dxa"/>
        <w:tblLayout w:type="fixed"/>
        <w:tblW w:w="8218" w:type="dxa"/>
      </w:tblPr>
      <w:tblGrid/>
      <w:tr>
        <w:tc>
          <w:tcPr>
            <w:tcW w:w="8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ind w:firstLine="0" w:left="34" w:right="-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Konto</w:t>
            </w:r>
          </w:p>
        </w:tc>
        <w:tc>
          <w:tcPr>
            <w:tcW w:w="12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ind w:firstLine="0" w:left="34" w:right="-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Opis</w:t>
            </w:r>
          </w:p>
        </w:tc>
        <w:tc>
          <w:tcPr>
            <w:tcW w:w="21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ind w:firstLine="0" w:left="34" w:right="-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Plan 2025. (€)</w:t>
            </w:r>
          </w:p>
        </w:tc>
        <w:tc>
          <w:tcPr>
            <w:tcW w:w="184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ind w:firstLine="0" w:left="34" w:right="-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Projekcija 2026. (€)</w:t>
            </w:r>
          </w:p>
        </w:tc>
        <w:tc>
          <w:tcPr>
            <w:tcW w:w="215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after="160" w:beforeAutospacing="0" w:afterAutospacing="0"/>
              <w:ind w:firstLine="0" w:left="34" w:right="-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Projekcija 2027.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color w:val="000000"/>
          <w:sz w:val="22"/>
        </w:rPr>
        <w:t xml:space="preserve">  </w:t>
      </w:r>
    </w:p>
    <w:tbl>
      <w:tblPr>
        <w:tblStyle w:val="T0"/>
        <w:tblInd w:w="560" w:type="dxa"/>
        <w:tblLayout w:type="fixed"/>
        <w:tblW w:w="8331" w:type="dxa"/>
      </w:tblPr>
      <w:tblGrid/>
      <w:tr>
        <w:tc>
          <w:tcPr>
            <w:tcW w:w="8251" w:type="dxa"/>
            <w:gridSpan w:val="6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64299 Ostali prihodi od nefinancijske imovine  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251" w:type="dxa"/>
            <w:gridSpan w:val="6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Aktivnost  K 100002 KAPITALNA POMOĆ ZA IZGRADNJU NOGOSTUPA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325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IZVOR 47. NAKADA ZA LEGALIZACIJU </w:t>
            </w:r>
          </w:p>
        </w:tc>
        <w:tc>
          <w:tcPr>
            <w:tcW w:w="2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w="2001" w:type="dxa"/>
            <w:tcBorders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w="3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ind w:left="0" w:right="142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 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0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ind w:firstLine="0" w:left="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412413</w:t>
            </w:r>
          </w:p>
        </w:tc>
        <w:tc>
          <w:tcPr>
            <w:tcW w:w="132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after="160" w:beforeAutospacing="0" w:afterAutospacing="0"/>
              <w:ind w:firstLine="0" w:left="54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Ulaganje u tuđu imovinu radi prava korištenja – izgradnja nogostupa</w:t>
            </w:r>
          </w:p>
        </w:tc>
        <w:tc>
          <w:tcPr>
            <w:tcW w:w="2027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1.000,00</w:t>
            </w:r>
          </w:p>
        </w:tc>
        <w:tc>
          <w:tcPr>
            <w:tcW w:w="155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1.000,00</w:t>
            </w:r>
          </w:p>
        </w:tc>
        <w:tc>
          <w:tcPr>
            <w:tcW w:w="2001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1.000,00</w:t>
            </w:r>
          </w:p>
        </w:tc>
        <w:tc>
          <w:tcPr>
            <w:tcW w:w="34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right"/>
              <w:spacing w:lineRule="auto" w:line="240" w:after="16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Rule="auto" w:line="240" w:after="16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1" w:type="dxa"/>
            <w:tcBorders>
              <w:top w:val="single" w:sz="6" w:space="0" w:shadow="0" w:fram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ind w:left="560"/>
              <w:pStyle w:val="P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II.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Planirana sredstva iz točke I. ovog Programa koristiti će se tijekom 2025. godine za slijedeću namjenu: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- za poboljšanje infrastrukture nedovoljno opremljenih i/ili opremljenih naselja prema programu koje donosi predstavničko tijelo.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III.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Financijska sredstva iz članka I. Programa korištenja sredstava od naknada za zadržavanje nezakonito izgrađenih zgrada za 2025. godinu osiguravaju se u Proračunu Općine Hum na Sutli za 2025. godinu. Sredstva su osigurana u Programu K 10002 Kapitalna pomoć za izgradnju nogostupa u razdjelu 001 Opće javne usluge. 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Planirana i raspoređena novčana sredstva iz točke II. Ovog Programa mogu se tijekom godine izmjenama Proračuna za 2025. godinu mijenjati, ovisno o ostvarenju sredstava od naknada za nezakonito izgrađene zgrade.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>IV.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2"/>
        </w:rPr>
        <w:t xml:space="preserve">Ovaj Program objavit će se u „Službenom glasniku Krapinsko-zagorske županije“. 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382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2"/>
        </w:rPr>
        <w:t xml:space="preserve">     PREDSJEDNIK OPĆINSKOG VIJEĆA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2024-12-23T08:01:52Z</dcterms:created>
  <dcterms:modified xsi:type="dcterms:W3CDTF">2024-12-23T08:01:52Z</dcterms:modified>
</cp:coreProperties>
</file>