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Krapinsko-zagorska županija</w:t>
      </w:r>
      <w:bookmarkStart w:id="0" w:name="_GoBack"/>
      <w:bookmarkEnd w:id="0"/>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Općina</w:t>
      </w:r>
      <w:r>
        <w:rPr>
          <w:rFonts w:ascii="Times New Roman" w:hAnsi="Times New Roman"/>
          <w:b w:val="1"/>
          <w:noProof w:val="1"/>
          <w:sz w:val="24"/>
        </w:rPr>
        <w:t xml:space="preserve"> </w:t>
      </w:r>
      <w:r>
        <w:rPr>
          <w:rFonts w:ascii="Times New Roman" w:hAnsi="Times New Roman"/>
          <w:b w:val="1"/>
          <w:noProof w:val="1"/>
          <w:sz w:val="24"/>
        </w:rPr>
        <w:t>Hum</w:t>
      </w:r>
      <w:r>
        <w:rPr>
          <w:rFonts w:ascii="Times New Roman" w:hAnsi="Times New Roman"/>
          <w:b w:val="1"/>
          <w:noProof w:val="1"/>
          <w:sz w:val="24"/>
        </w:rPr>
        <w:t xml:space="preserve"> </w:t>
      </w:r>
      <w:r>
        <w:rPr>
          <w:rFonts w:ascii="Times New Roman" w:hAnsi="Times New Roman"/>
          <w:b w:val="1"/>
          <w:noProof w:val="1"/>
          <w:sz w:val="24"/>
        </w:rPr>
        <w:t>na</w:t>
      </w:r>
      <w:r>
        <w:rPr>
          <w:rFonts w:ascii="Times New Roman" w:hAnsi="Times New Roman"/>
          <w:b w:val="1"/>
          <w:sz w:val="24"/>
        </w:rPr>
        <w:t xml:space="preserve"> Sutli</w:t>
      </w:r>
    </w:p>
    <w:p>
      <w:pPr>
        <w:spacing w:lineRule="auto" w:line="240" w:after="0" w:beforeAutospacing="0" w:afterAutospacing="0"/>
        <w:pStyle w:val="P0"/>
        <w:rPr>
          <w:rFonts w:ascii="Times New Roman" w:hAnsi="Times New Roman"/>
          <w:b w:val="1"/>
          <w:sz w:val="24"/>
        </w:rPr>
      </w:pPr>
      <w:r>
        <w:rPr>
          <w:rFonts w:ascii="Times New Roman" w:hAnsi="Times New Roman"/>
          <w:b w:val="1"/>
          <w:noProof w:val="1"/>
          <w:color w:val="000000"/>
          <w:sz w:val="24"/>
        </w:rPr>
        <w:t xml:space="preserve">Općinsko vijeće</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400-01/24-01/37</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2140-14-01-24-14</w:t>
      </w:r>
    </w:p>
    <w:p>
      <w:pPr>
        <w:spacing w:lineRule="auto" w:line="240" w:after="0" w:beforeAutospacing="0" w:afterAutospacing="0"/>
        <w:pStyle w:val="P0"/>
        <w:rPr>
          <w:rFonts w:ascii="Times New Roman" w:hAnsi="Times New Roman"/>
          <w:i w:val="1"/>
          <w:sz w:val="24"/>
        </w:rPr>
      </w:pPr>
      <w:r>
        <w:rPr>
          <w:rFonts w:ascii="Times New Roman" w:hAnsi="Times New Roman"/>
          <w:noProof w:val="1"/>
          <w:sz w:val="24"/>
        </w:rPr>
        <w:t>Hum</w:t>
      </w:r>
      <w:r>
        <w:rPr>
          <w:rFonts w:ascii="Times New Roman" w:hAnsi="Times New Roman"/>
          <w:noProof w:val="1"/>
          <w:sz w:val="24"/>
        </w:rPr>
        <w:t xml:space="preserve"> </w:t>
      </w:r>
      <w:r>
        <w:rPr>
          <w:rFonts w:ascii="Times New Roman" w:hAnsi="Times New Roman"/>
          <w:noProof w:val="1"/>
          <w:sz w:val="24"/>
        </w:rPr>
        <w:t>na</w:t>
      </w:r>
      <w:r>
        <w:rPr>
          <w:rFonts w:ascii="Times New Roman" w:hAnsi="Times New Roman"/>
          <w:noProof w:val="1"/>
          <w:sz w:val="24"/>
        </w:rPr>
        <w:t xml:space="preserve"> </w:t>
      </w:r>
      <w:r>
        <w:rPr>
          <w:rFonts w:ascii="Times New Roman" w:hAnsi="Times New Roman"/>
          <w:noProof w:val="1"/>
          <w:sz w:val="24"/>
        </w:rPr>
        <w:t>Sutli</w:t>
      </w:r>
      <w:r>
        <w:rPr>
          <w:rFonts w:ascii="Times New Roman" w:hAnsi="Times New Roman"/>
          <w:sz w:val="24"/>
        </w:rPr>
        <w:t xml:space="preserve">, </w:t>
      </w:r>
      <w:r>
        <w:rPr>
          <w:rFonts w:ascii="Times New Roman" w:hAnsi="Times New Roman"/>
          <w:noProof w:val="1"/>
          <w:sz w:val="24"/>
        </w:rPr>
        <w:t>16</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prosinca</w:t>
      </w:r>
      <w:r>
        <w:rPr>
          <w:rFonts w:ascii="Times New Roman" w:hAnsi="Times New Roman"/>
          <w:noProof w:val="1"/>
          <w:sz w:val="24"/>
        </w:rPr>
        <w:t xml:space="preserve"> </w:t>
      </w:r>
      <w:r>
        <w:rPr>
          <w:rFonts w:ascii="Times New Roman" w:hAnsi="Times New Roman"/>
          <w:sz w:val="24"/>
        </w:rPr>
        <w:t>2024.</w:t>
      </w:r>
    </w:p>
    <w:p>
      <w:pPr>
        <w:spacing w:lineRule="auto" w:line="240" w:after="0" w:beforeAutospacing="0" w:afterAutospacing="0"/>
        <w:pStyle w:val="P0"/>
        <w:rPr>
          <w:rFonts w:ascii="Times New Roman" w:hAnsi="Times New Roman"/>
          <w:sz w:val="24"/>
        </w:rPr>
      </w:pPr>
    </w:p>
    <w:p>
      <w:pPr>
        <w:jc w:val="both"/>
        <w:spacing w:lineRule="auto" w:line="240" w:after="0" w:beforeAutospacing="0" w:afterAutospacing="0"/>
        <w:pStyle w:val="P0"/>
        <w:rPr>
          <w:rFonts w:ascii="Times New Roman" w:hAnsi="Times New Roman"/>
          <w:sz w:val="24"/>
        </w:rPr>
      </w:pPr>
      <w:r>
        <w:rPr>
          <w:rFonts w:ascii="Times New Roman" w:hAnsi="Times New Roman"/>
          <w:sz w:val="24"/>
        </w:rPr>
        <w:tab/>
      </w:r>
      <w:r>
        <w:rPr>
          <w:rFonts w:ascii="Times New Roman" w:hAnsi="Times New Roman"/>
          <w:sz w:val="24"/>
        </w:rPr>
        <w:t xml:space="preserve"> Na temelju članka 67. Zakona o komunalnom gospodarstvu  (“Narodne novine” br. 68/18, 110/18, 32/20) i članka 30. Statuta općine Hum na Sutli ("Službeni glasnik KZŽ" br. 9/21), Općinsko vijeće Općine Hum na Sutli na sjednici održanoj 16. prosinca 2024. godine donijelo je</w:t>
      </w:r>
    </w:p>
    <w:p>
      <w:pPr>
        <w:jc w:val="both"/>
        <w:spacing w:lineRule="auto" w:line="240" w:after="0" w:beforeAutospacing="0" w:afterAutospacing="0"/>
        <w:pStyle w:val="P0"/>
        <w:rPr>
          <w:rFonts w:ascii="Times New Roman" w:hAnsi="Times New Roman"/>
          <w:sz w:val="24"/>
        </w:rPr>
      </w:pPr>
      <w:r>
        <w:rPr>
          <w:rFonts w:ascii="Times New Roman" w:hAnsi="Times New Roman"/>
          <w:sz w:val="24"/>
        </w:rPr>
        <w:t xml:space="preserve"> </w:t>
      </w:r>
    </w:p>
    <w:p>
      <w:pPr>
        <w:jc w:val="center"/>
        <w:spacing w:lineRule="auto" w:line="240" w:after="0" w:beforeAutospacing="0" w:afterAutospacing="0"/>
        <w:pStyle w:val="P0"/>
        <w:rPr>
          <w:rFonts w:ascii="Times New Roman" w:hAnsi="Times New Roman"/>
          <w:sz w:val="24"/>
        </w:rPr>
      </w:pPr>
      <w:r>
        <w:rPr>
          <w:rFonts w:ascii="Times New Roman" w:hAnsi="Times New Roman"/>
          <w:b w:val="1"/>
          <w:sz w:val="24"/>
        </w:rPr>
        <w:t>Program</w:t>
      </w:r>
    </w:p>
    <w:p>
      <w:pPr>
        <w:jc w:val="center"/>
        <w:spacing w:lineRule="auto" w:line="240" w:after="0" w:beforeAutospacing="0" w:afterAutospacing="0"/>
        <w:pStyle w:val="P0"/>
        <w:rPr>
          <w:rFonts w:ascii="Times New Roman" w:hAnsi="Times New Roman"/>
          <w:sz w:val="24"/>
        </w:rPr>
      </w:pPr>
      <w:r>
        <w:rPr>
          <w:rFonts w:ascii="Times New Roman" w:hAnsi="Times New Roman"/>
          <w:b w:val="1"/>
          <w:sz w:val="24"/>
        </w:rPr>
        <w:t xml:space="preserve">izgradnje i asfaltiranja nerazvrstanih cesta u 2025. godini</w:t>
      </w:r>
    </w:p>
    <w:p>
      <w:pPr>
        <w:jc w:val="center"/>
        <w:spacing w:lineRule="auto" w:line="240" w:after="0" w:beforeAutospacing="0" w:afterAutospacing="0"/>
        <w:pStyle w:val="P0"/>
        <w:rPr>
          <w:rFonts w:ascii="Times New Roman" w:hAnsi="Times New Roman"/>
          <w:sz w:val="24"/>
        </w:rPr>
      </w:pPr>
      <w:r>
        <w:rPr>
          <w:rFonts w:ascii="Times New Roman" w:hAnsi="Times New Roman"/>
          <w:b w:val="1"/>
          <w:sz w:val="24"/>
        </w:rPr>
        <w:t xml:space="preserve">te plan izgradnje i asfaltiranja nerazvrstanih cesta u 2026. i 2027. godini</w:t>
      </w:r>
    </w:p>
    <w:p>
      <w:pPr>
        <w:jc w:val="center"/>
        <w:spacing w:lineRule="auto" w:line="240" w:after="0" w:beforeAutospacing="0" w:afterAutospacing="0"/>
        <w:pStyle w:val="P0"/>
        <w:rPr>
          <w:rFonts w:ascii="Times New Roman" w:hAnsi="Times New Roman"/>
          <w:sz w:val="24"/>
        </w:rPr>
      </w:pPr>
      <w:r>
        <w:rPr>
          <w:rFonts w:ascii="Times New Roman" w:hAnsi="Times New Roman"/>
          <w:b w:val="1"/>
          <w:sz w:val="24"/>
        </w:rPr>
        <w:t xml:space="preserve"> </w:t>
      </w:r>
    </w:p>
    <w:p>
      <w:pPr>
        <w:jc w:val="center"/>
        <w:spacing w:lineRule="auto" w:line="240" w:after="0" w:beforeAutospacing="0" w:afterAutospacing="0"/>
        <w:pStyle w:val="P0"/>
        <w:rPr>
          <w:rFonts w:ascii="Times New Roman" w:hAnsi="Times New Roman"/>
          <w:sz w:val="24"/>
        </w:rPr>
      </w:pPr>
      <w:r>
        <w:rPr>
          <w:rFonts w:ascii="Times New Roman" w:hAnsi="Times New Roman"/>
          <w:b w:val="1"/>
          <w:sz w:val="24"/>
        </w:rPr>
        <w:t xml:space="preserve">Članak 1.</w:t>
      </w:r>
    </w:p>
    <w:p>
      <w:pPr>
        <w:jc w:val="both"/>
        <w:spacing w:lineRule="auto" w:line="240" w:before="0" w:after="0" w:beforeAutospacing="0" w:afterAutospacing="0"/>
        <w:ind w:left="360" w:right="0"/>
        <w:pStyle w:val="P0"/>
        <w:rPr>
          <w:rFonts w:ascii="Times New Roman" w:hAnsi="Times New Roman"/>
          <w:sz w:val="22"/>
        </w:rPr>
      </w:pPr>
      <w:r>
        <w:rPr>
          <w:rFonts w:ascii="Times New Roman" w:hAnsi="Times New Roman"/>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 xml:space="preserve">I.A./ 2025. godina</w:t>
      </w:r>
      <w:r>
        <w:rPr>
          <w:rFonts w:ascii="Times New Roman" w:hAnsi="Times New Roman"/>
          <w:sz w:val="22"/>
        </w:rPr>
        <w:t xml:space="preserve"> </w:t>
      </w:r>
    </w:p>
    <w:tbl>
      <w:tblPr>
        <w:tblStyle w:val="T0"/>
        <w:tblInd w:w="0" w:type="dxa"/>
        <w:tblLayout w:type="autofit"/>
        <w:tblW w:w="5778" w:type="dxa"/>
      </w:tblPr>
      <w:tblGrid/>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sz w:val="22"/>
              </w:rPr>
              <w:t xml:space="preserve"> Lastine (Staroveški) – Grletinec (Šeligo)</w:t>
            </w:r>
          </w:p>
        </w:tc>
        <w:tc>
          <w:tcPr>
            <w:tcW w:w="816"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150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ind w:firstLine="0"/>
              <w:pStyle w:val="P0"/>
              <w:rPr>
                <w:rFonts w:ascii="Times New Roman" w:hAnsi="Times New Roman"/>
                <w:sz w:val="22"/>
              </w:rPr>
            </w:pPr>
            <w:r>
              <w:rPr>
                <w:rFonts w:ascii="Times New Roman" w:hAnsi="Times New Roman"/>
                <w:color w:val="000000"/>
                <w:sz w:val="22"/>
              </w:rPr>
              <w:t xml:space="preserve"> Poredje: odvojak Ferbišek Boris</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100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color w:val="000000"/>
                <w:sz w:val="22"/>
              </w:rPr>
              <w:t xml:space="preserve"> Brezno: odvojak Papišta</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100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ind w:hanging="360"/>
              <w:pStyle w:val="P0"/>
              <w:rPr>
                <w:rFonts w:ascii="Times New Roman" w:hAnsi="Times New Roman"/>
                <w:sz w:val="22"/>
              </w:rPr>
            </w:pPr>
            <w:r>
              <w:rPr>
                <w:rFonts w:ascii="Times New Roman" w:hAnsi="Times New Roman"/>
                <w:color w:val="000000"/>
                <w:sz w:val="22"/>
              </w:rPr>
              <w:t>4.</w:t>
            </w:r>
            <w:r>
              <w:rPr>
                <w:rFonts w:ascii="Times New Roman" w:hAnsi="Times New Roman"/>
                <w:color w:val="000000"/>
                <w:sz w:val="22"/>
              </w:rPr>
              <w:tab/>
            </w:r>
            <w:r>
              <w:rPr>
                <w:rFonts w:ascii="Times New Roman" w:hAnsi="Times New Roman"/>
                <w:color w:val="000000"/>
                <w:sz w:val="22"/>
              </w:rPr>
              <w:t xml:space="preserve"> Druškovec Humski: odvojak Kralj Vlado</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100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ind w:firstLine="0"/>
              <w:pStyle w:val="P0"/>
              <w:rPr>
                <w:rFonts w:ascii="Times New Roman" w:hAnsi="Times New Roman"/>
                <w:sz w:val="22"/>
              </w:rPr>
            </w:pPr>
            <w:r>
              <w:rPr>
                <w:rFonts w:ascii="Times New Roman" w:hAnsi="Times New Roman"/>
                <w:color w:val="000000"/>
                <w:sz w:val="22"/>
              </w:rPr>
              <w:t xml:space="preserve"> Gornje Brezno: odvojak Boršić Franjo-Frlić</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55</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color w:val="000000"/>
                <w:sz w:val="22"/>
              </w:rPr>
              <w:t xml:space="preserve"> Klenovec Humski: odvojak Vešligaj Josip</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60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color w:val="000000"/>
                <w:sz w:val="22"/>
              </w:rPr>
              <w:t xml:space="preserve"> Lupinjak: Sevnica - Drvenšćak</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90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color w:val="000000"/>
                <w:sz w:val="22"/>
              </w:rPr>
              <w:t xml:space="preserve"> Leskov Grm: odvojak Eker</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100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color w:val="000000"/>
                <w:sz w:val="22"/>
              </w:rPr>
              <w:t xml:space="preserve"> Lastine: odvojak Krošlin Kruno</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100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color w:val="000000"/>
                <w:sz w:val="22"/>
              </w:rPr>
              <w:t xml:space="preserve"> Brezno Gora: odvojak Bračun Josip</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color w:val="000000"/>
                <w:sz w:val="22"/>
              </w:rPr>
              <w:t>50</w:t>
            </w:r>
          </w:p>
        </w:tc>
      </w:tr>
      <w:tr>
        <w:tc>
          <w:tcPr>
            <w:tcW w:w="4962"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b w:val="1"/>
                <w:color w:val="000000"/>
                <w:sz w:val="22"/>
              </w:rPr>
              <w:t>Ukupno:</w:t>
            </w:r>
          </w:p>
        </w:tc>
        <w:tc>
          <w:tcPr>
            <w:tcW w:w="816"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b w:val="1"/>
                <w:color w:val="000000"/>
                <w:sz w:val="22"/>
              </w:rPr>
              <w:t xml:space="preserve">905 m</w:t>
            </w:r>
          </w:p>
        </w:tc>
      </w:tr>
    </w:tbl>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r>
        <w:rPr>
          <w:rFonts w:ascii="Times New Roman" w:hAnsi="Times New Roman"/>
          <w:b w:val="1"/>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Izgradnja – asfaltiranje navedenih dionica cesta financirat će se iz:</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komunalnog doprinosa</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proračuna jedinice lokalne samouprave</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naknade za koncesiju</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drugih izvora – donacije građana</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r>
        <w:rPr>
          <w:rFonts w:ascii="Times New Roman" w:hAnsi="Times New Roman"/>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 xml:space="preserve">I.B./ 2026. godina</w:t>
      </w:r>
    </w:p>
    <w:tbl>
      <w:tblPr>
        <w:tblStyle w:val="T0"/>
        <w:tblInd w:w="0" w:type="dxa"/>
        <w:tblLayout w:type="autofit"/>
        <w:tblW w:w="5807" w:type="dxa"/>
      </w:tblPr>
      <w:tblGrid/>
      <w:tr>
        <w:tc>
          <w:tcPr>
            <w:tcW w:w="4957"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Leskov Grm: Gajšek – Čuček Dragica </w:t>
            </w:r>
          </w:p>
        </w:tc>
        <w:tc>
          <w:tcPr>
            <w:tcW w:w="850"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140</w:t>
            </w:r>
          </w:p>
        </w:tc>
      </w:tr>
      <w:tr>
        <w:tc>
          <w:tcPr>
            <w:tcW w:w="4957"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ind w:hanging="360"/>
              <w:pStyle w:val="P0"/>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 Brezno: odvojak Bračun Ivanka</w:t>
            </w:r>
          </w:p>
        </w:tc>
        <w:tc>
          <w:tcPr>
            <w:tcW w:w="850"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100</w:t>
            </w:r>
          </w:p>
        </w:tc>
      </w:tr>
      <w:tr>
        <w:tc>
          <w:tcPr>
            <w:tcW w:w="4957"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ind w:hanging="360"/>
              <w:pStyle w:val="P0"/>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 xml:space="preserve"> </w:t>
            </w:r>
            <w:r>
              <w:rPr>
                <w:rFonts w:ascii="Times New Roman" w:hAnsi="Times New Roman"/>
                <w:color w:val="000000"/>
                <w:sz w:val="22"/>
              </w:rPr>
              <w:t xml:space="preserve">Grletinec: odvojak Zvonko Štruklec </w:t>
            </w:r>
          </w:p>
        </w:tc>
        <w:tc>
          <w:tcPr>
            <w:tcW w:w="850"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100</w:t>
            </w:r>
          </w:p>
        </w:tc>
      </w:tr>
      <w:tr>
        <w:tc>
          <w:tcPr>
            <w:tcW w:w="4957"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Brezno Gora: odvojak Jazbec</w:t>
            </w:r>
          </w:p>
        </w:tc>
        <w:tc>
          <w:tcPr>
            <w:tcW w:w="850"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110</w:t>
            </w:r>
          </w:p>
        </w:tc>
      </w:tr>
      <w:tr>
        <w:tc>
          <w:tcPr>
            <w:tcW w:w="4957"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Vrbišnica: Berc - Antolić</w:t>
            </w:r>
          </w:p>
        </w:tc>
        <w:tc>
          <w:tcPr>
            <w:tcW w:w="850"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125</w:t>
            </w:r>
          </w:p>
        </w:tc>
      </w:tr>
      <w:tr>
        <w:tc>
          <w:tcPr>
            <w:tcW w:w="4957"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Donje Brezno: odvojak Halužan Josip</w:t>
            </w:r>
          </w:p>
        </w:tc>
        <w:tc>
          <w:tcPr>
            <w:tcW w:w="850"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100</w:t>
            </w:r>
          </w:p>
        </w:tc>
      </w:tr>
      <w:tr>
        <w:tc>
          <w:tcPr>
            <w:tcW w:w="4957"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Ukupno:</w:t>
            </w:r>
          </w:p>
        </w:tc>
        <w:tc>
          <w:tcPr>
            <w:tcW w:w="850"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b w:val="1"/>
                <w:sz w:val="22"/>
              </w:rPr>
              <w:t xml:space="preserve">675 m </w:t>
            </w:r>
          </w:p>
        </w:tc>
      </w:tr>
    </w:tbl>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Izgradnja – asfaltiranje navedenih dionica cesta financirat će se iz:</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komunalnog doprinosa</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proračuna jedinice lokalne samouprave</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naknade za koncesiju</w:t>
      </w:r>
    </w:p>
    <w:p>
      <w:pPr>
        <w:jc w:val="both"/>
        <w:spacing w:lineRule="auto" w:line="240" w:before="0" w:after="0" w:beforeAutospacing="0" w:afterAutospacing="0"/>
        <w:ind w:hanging="360" w:left="360" w:right="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drugih izvora – donacije građana</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 xml:space="preserve">I.C./ 2027. godina</w:t>
      </w:r>
    </w:p>
    <w:tbl>
      <w:tblPr>
        <w:tblStyle w:val="T0"/>
        <w:tblInd w:w="0" w:type="dxa"/>
        <w:tblLayout w:type="autofit"/>
        <w:tblW w:w="6204" w:type="dxa"/>
      </w:tblPr>
      <w:tblGrid/>
      <w:tr>
        <w:tc>
          <w:tcPr>
            <w:tcW w:w="5353"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Poredje: (Štruklecova klet) – Bračun Vlado</w:t>
            </w:r>
          </w:p>
        </w:tc>
        <w:tc>
          <w:tcPr>
            <w:tcW w:w="851"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200</w:t>
            </w:r>
          </w:p>
        </w:tc>
      </w:tr>
      <w:tr>
        <w:tc>
          <w:tcPr>
            <w:tcW w:w="5353"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spacing w:lineRule="auto" w:line="240" w:after="0" w:beforeAutospacing="0" w:afterAutospacing="0"/>
              <w:pStyle w:val="P0"/>
              <w:rPr>
                <w:rFonts w:ascii="Times New Roman" w:hAnsi="Times New Roman"/>
                <w:sz w:val="22"/>
              </w:rPr>
            </w:pPr>
            <w:r>
              <w:rPr>
                <w:rFonts w:ascii="Times New Roman" w:hAnsi="Times New Roman"/>
                <w:sz w:val="22"/>
              </w:rPr>
              <w:t xml:space="preserve">Lupinjak (Hlevnica) – Papeži   </w:t>
            </w:r>
          </w:p>
        </w:tc>
        <w:tc>
          <w:tcPr>
            <w:tcW w:w="851"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100</w:t>
            </w:r>
          </w:p>
        </w:tc>
      </w:tr>
      <w:tr>
        <w:tc>
          <w:tcPr>
            <w:tcW w:w="5353"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bottom"/>
          </w:tcPr>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Ukupno:</w:t>
            </w:r>
          </w:p>
        </w:tc>
        <w:tc>
          <w:tcPr>
            <w:tcW w:w="851" w:type="dxa"/>
            <w:tcBorders>
              <w:bottom w:val="single" w:sz="6" w:space="0" w:shadow="0" w:frame="0"/>
              <w:right w:val="single" w:sz="6" w:space="0" w:shadow="0" w:frame="0"/>
            </w:tcBorders>
            <w:tcMar>
              <w:top w:w="0" w:type="dxa"/>
              <w:left w:w="108" w:type="dxa"/>
              <w:bottom w:w="0" w:type="dxa"/>
              <w:right w:w="108" w:type="dxa"/>
            </w:tcMar>
            <w:vAlign w:val="bottom"/>
          </w:tcPr>
          <w:p>
            <w:pPr>
              <w:jc w:val="right"/>
              <w:spacing w:lineRule="auto" w:line="240" w:after="0" w:beforeAutospacing="0" w:afterAutospacing="0"/>
              <w:pStyle w:val="P0"/>
              <w:rPr>
                <w:rFonts w:ascii="Times New Roman" w:hAnsi="Times New Roman"/>
                <w:sz w:val="22"/>
              </w:rPr>
            </w:pPr>
            <w:r>
              <w:rPr>
                <w:rFonts w:ascii="Times New Roman" w:hAnsi="Times New Roman"/>
                <w:sz w:val="22"/>
              </w:rPr>
              <w:t>300</w:t>
            </w:r>
          </w:p>
        </w:tc>
      </w:tr>
    </w:tbl>
    <w:p>
      <w:pPr>
        <w:jc w:val="both"/>
        <w:spacing w:lineRule="auto" w:line="240" w:after="0" w:beforeAutospacing="0" w:afterAutospacing="0"/>
        <w:pStyle w:val="P0"/>
        <w:rPr>
          <w:rFonts w:ascii="Times New Roman" w:hAnsi="Times New Roman"/>
          <w:sz w:val="22"/>
        </w:rPr>
      </w:pPr>
      <w:r>
        <w:rPr>
          <w:rFonts w:ascii="Times New Roman" w:hAnsi="Times New Roman"/>
          <w:b w:val="1"/>
          <w:i w:val="1"/>
          <w:sz w:val="22"/>
        </w:rPr>
        <w:t xml:space="preserve"> </w:t>
      </w:r>
      <w:r>
        <w:rPr>
          <w:rFonts w:ascii="Times New Roman" w:hAnsi="Times New Roman"/>
          <w:b w:val="1"/>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Izgradnja – asfaltiranje navedenih dionica cesta financirat će se iz:</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 xml:space="preserve"> komunalnog doprinosa</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 xml:space="preserve">proračuna jedinice lokalne samouprave</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 xml:space="preserve">naknade za koncesiju</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 xml:space="preserve">drugih izvora – donacije građana</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 xml:space="preserve"> </w:t>
      </w:r>
      <w:r>
        <w:rPr>
          <w:rFonts w:ascii="Times New Roman" w:hAnsi="Times New Roman"/>
          <w:b w:val="1"/>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II.</w:t>
      </w:r>
      <w:r>
        <w:rPr>
          <w:rFonts w:ascii="Times New Roman" w:hAnsi="Times New Roman"/>
          <w:sz w:val="22"/>
        </w:rPr>
        <w:t xml:space="preserve"> Izgradnja dionica cesta u 2025., 2026. i 2027. godini izvršit će se pod uvjetom da sva domaćinstva uz dionicu ceste koja je u planu asfaltiranja imaju podmirene sve obveze prema Općini Hum na Sutli, općinskim poduzećima i ustanovama, te doniraju iznos prema slijedećim kriterijima:</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1. </w:t>
      </w:r>
      <w:r>
        <w:rPr>
          <w:rFonts w:ascii="Times New Roman" w:hAnsi="Times New Roman"/>
          <w:b w:val="1"/>
          <w:sz w:val="22"/>
        </w:rPr>
        <w:t xml:space="preserve">Sufinanciranje Općine Hum na Sutli u iznosu od 70% i građana u iznosu od 30%</w:t>
      </w:r>
    </w:p>
    <w:p>
      <w:pPr>
        <w:jc w:val="both"/>
        <w:spacing w:lineRule="auto" w:line="240" w:before="0" w:after="0" w:beforeAutospacing="0" w:afterAutospacing="0"/>
        <w:ind w:hanging="176" w:left="743" w:right="0"/>
        <w:pStyle w:val="P0"/>
        <w:rPr>
          <w:rFonts w:ascii="Times New Roman" w:hAnsi="Times New Roman"/>
          <w:sz w:val="22"/>
        </w:rPr>
      </w:pPr>
      <w:r>
        <w:rPr>
          <w:rFonts w:ascii="Calibri" w:hAnsi="Calibri"/>
          <w:sz w:val="22"/>
        </w:rPr>
        <w:t xml:space="preserve">•   </w:t>
      </w:r>
      <w:r>
        <w:rPr>
          <w:rFonts w:ascii="Times New Roman" w:hAnsi="Times New Roman"/>
          <w:sz w:val="22"/>
        </w:rPr>
        <w:t xml:space="preserve">Dužina ceste više od 100 metara na kojoj živi jedno ili više domaćinstava</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2. </w:t>
      </w:r>
      <w:r>
        <w:rPr>
          <w:rFonts w:ascii="Times New Roman" w:hAnsi="Times New Roman"/>
          <w:b w:val="1"/>
          <w:sz w:val="22"/>
        </w:rPr>
        <w:t xml:space="preserve">Sufinanciranje Općine Hum na Sutli u iznosu od 50% i građana u iznosu od 50%</w:t>
      </w:r>
    </w:p>
    <w:p>
      <w:pPr>
        <w:jc w:val="both"/>
        <w:spacing w:lineRule="auto" w:line="240" w:before="0" w:after="0" w:beforeAutospacing="0" w:afterAutospacing="0"/>
        <w:ind w:hanging="176" w:left="743" w:right="0"/>
        <w:pStyle w:val="P0"/>
        <w:rPr>
          <w:rFonts w:ascii="Times New Roman" w:hAnsi="Times New Roman"/>
          <w:sz w:val="22"/>
        </w:rPr>
      </w:pPr>
      <w:r>
        <w:rPr>
          <w:rFonts w:ascii="Calibri" w:hAnsi="Calibri"/>
          <w:sz w:val="22"/>
        </w:rPr>
        <w:t xml:space="preserve">•   </w:t>
      </w:r>
      <w:r>
        <w:rPr>
          <w:rFonts w:ascii="Times New Roman" w:hAnsi="Times New Roman"/>
          <w:sz w:val="22"/>
        </w:rPr>
        <w:t xml:space="preserve">Dužina ceste do 100 metara na kojoj živi jedno ili više domaćinstava</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Napomena:</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Rangiranje zahtjeva ili dionica po kriterijima moguće je uz odstupanje do 10% ukupne dužine dionice.</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Predmet sufinanciranja od strane Općine Hum na Sutli ne mogu biti privatna dvorišta.</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 xml:space="preserve">III. </w:t>
      </w:r>
      <w:r>
        <w:rPr>
          <w:rFonts w:ascii="Times New Roman" w:hAnsi="Times New Roman"/>
          <w:sz w:val="22"/>
        </w:rPr>
        <w:t xml:space="preserve">Program izgradnje nerazvrstanih cesta mijenjat će se samo u slučaju ukoliko građani u određenom roku – prije početka izgradnje dionice ceste ne uplate potrebna sredstva prema točki II.</w:t>
      </w:r>
    </w:p>
    <w:p>
      <w:pPr>
        <w:jc w:val="both"/>
        <w:spacing w:lineRule="auto" w:line="240" w:after="0" w:beforeAutospacing="0" w:afterAutospacing="0"/>
        <w:pStyle w:val="P0"/>
        <w:rPr>
          <w:rFonts w:ascii="Times New Roman" w:hAnsi="Times New Roman"/>
          <w:sz w:val="22"/>
        </w:rPr>
      </w:pPr>
      <w:r>
        <w:rPr>
          <w:rFonts w:ascii="Times New Roman" w:hAnsi="Times New Roman"/>
          <w:b w:val="1"/>
          <w:i w:val="1"/>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IV</w:t>
      </w:r>
      <w:r>
        <w:rPr>
          <w:rFonts w:ascii="Times New Roman" w:hAnsi="Times New Roman"/>
          <w:b w:val="1"/>
          <w:i w:val="1"/>
          <w:sz w:val="22"/>
        </w:rPr>
        <w:t>.</w:t>
      </w:r>
      <w:r>
        <w:rPr>
          <w:rFonts w:ascii="Times New Roman" w:hAnsi="Times New Roman"/>
          <w:sz w:val="22"/>
        </w:rPr>
        <w:t xml:space="preserve"> Ukoliko građani ne uplate potrebna sredstva, u tom slučaju prioritet će imati slijedeća dionica ceste iz Programa za koju će građani moći osigurati financijska sredstva prije početka izgradnje. Građani koji nisu uplatili potrebna sredstva brišu se iz Programa i mogu ponovne zahtjeve podnijeti za Program 2028. godine. </w:t>
      </w:r>
    </w:p>
    <w:p>
      <w:pPr>
        <w:jc w:val="both"/>
        <w:spacing w:lineRule="auto" w:line="240" w:after="0" w:beforeAutospacing="0" w:afterAutospacing="0"/>
        <w:pStyle w:val="P0"/>
        <w:rPr>
          <w:rFonts w:ascii="Times New Roman" w:hAnsi="Times New Roman"/>
          <w:sz w:val="22"/>
        </w:rPr>
      </w:pPr>
      <w:r>
        <w:rPr>
          <w:rFonts w:ascii="Times New Roman" w:hAnsi="Times New Roman"/>
          <w:b w:val="1"/>
          <w:i w:val="1"/>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b w:val="1"/>
          <w:sz w:val="22"/>
        </w:rPr>
        <w:t>V.</w:t>
      </w:r>
      <w:r>
        <w:rPr>
          <w:rFonts w:ascii="Times New Roman" w:hAnsi="Times New Roman"/>
          <w:sz w:val="22"/>
        </w:rPr>
        <w:t xml:space="preserve"> Ovaj Program izgradnje i asfaltiranja nerazvrstanih cesta u 2025. godini te plan izgradnje i asfaltiranja nerazvrstanih cesta u 2026. i 2027. godini objavljuje se u "Službenom glasniku Krapinsko-zagorske županije”.</w:t>
      </w:r>
      <w:r>
        <w:rPr>
          <w:rFonts w:ascii="Times New Roman" w:hAnsi="Times New Roman"/>
          <w:sz w:val="22"/>
        </w:rPr>
        <w:tab/>
      </w:r>
      <w:r>
        <w:rPr>
          <w:rFonts w:ascii="Times New Roman" w:hAnsi="Times New Roman"/>
          <w:sz w:val="22"/>
        </w:rPr>
        <w:tab/>
      </w:r>
      <w:r>
        <w:rPr>
          <w:rFonts w:ascii="Times New Roman" w:hAnsi="Times New Roman"/>
          <w:sz w:val="22"/>
        </w:rPr>
        <w:t xml:space="preserve"> </w:t>
      </w:r>
    </w:p>
    <w:p>
      <w:pPr>
        <w:jc w:val="both"/>
        <w:spacing w:lineRule="auto" w:line="240" w:after="0" w:beforeAutospacing="0" w:afterAutospacing="0"/>
        <w:pStyle w:val="P0"/>
        <w:rPr>
          <w:rFonts w:ascii="Times New Roman" w:hAnsi="Times New Roman"/>
          <w:sz w:val="22"/>
        </w:rPr>
      </w:pPr>
      <w:r>
        <w:rPr>
          <w:rFonts w:ascii="Times New Roman" w:hAnsi="Times New Roman"/>
          <w:sz w:val="22"/>
        </w:rPr>
        <w:t xml:space="preserve"> </w:t>
      </w:r>
    </w:p>
    <w:p>
      <w:pPr>
        <w:jc w:val="center"/>
        <w:spacing w:lineRule="auto" w:line="240" w:after="0" w:beforeAutospacing="0" w:afterAutospacing="0"/>
        <w:pStyle w:val="P0"/>
        <w:rPr>
          <w:rFonts w:ascii="Times New Roman" w:hAnsi="Times New Roman"/>
          <w:sz w:val="22"/>
        </w:rPr>
      </w:pPr>
      <w:r>
        <w:rPr>
          <w:rFonts w:ascii="Times New Roman" w:hAnsi="Times New Roman"/>
          <w:sz w:val="22"/>
        </w:rPr>
        <w:t xml:space="preserve"> </w:t>
      </w:r>
    </w:p>
    <w:p>
      <w:pPr>
        <w:jc w:val="center"/>
        <w:spacing w:lineRule="auto" w:line="240" w:after="0" w:beforeAutospacing="0" w:afterAutospacing="0"/>
        <w:pStyle w:val="P0"/>
        <w:rPr>
          <w:rFonts w:ascii="Times New Roman" w:hAnsi="Times New Roman"/>
          <w:b w:val="1"/>
          <w:sz w:val="22"/>
        </w:rPr>
      </w:pPr>
      <w:r>
        <w:rPr>
          <w:rFonts w:ascii="Times New Roman" w:hAnsi="Times New Roman"/>
          <w:sz w:val="22"/>
        </w:rPr>
        <w:tab/>
      </w:r>
      <w:r>
        <w:rPr>
          <w:rFonts w:ascii="Times New Roman" w:hAnsi="Times New Roman"/>
          <w:sz w:val="22"/>
        </w:rPr>
        <w:t xml:space="preserve"> </w:t>
      </w:r>
      <w:r>
        <w:rPr>
          <w:rFonts w:ascii="Times New Roman" w:hAnsi="Times New Roman"/>
          <w:sz w:val="22"/>
        </w:rPr>
        <w:tab/>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val="1"/>
          <w:sz w:val="22"/>
        </w:rPr>
        <w:t xml:space="preserve">PREDSJEDNIK  </w:t>
      </w:r>
    </w:p>
    <w:p>
      <w:pPr>
        <w:jc w:val="center"/>
        <w:spacing w:lineRule="auto" w:line="240" w:after="0" w:beforeAutospacing="0" w:afterAutospacing="0"/>
        <w:ind w:firstLine="708" w:left="4248"/>
        <w:pStyle w:val="P0"/>
        <w:rPr>
          <w:rFonts w:ascii="Times New Roman" w:hAnsi="Times New Roman"/>
          <w:sz w:val="22"/>
        </w:rPr>
      </w:pPr>
      <w:r>
        <w:rPr>
          <w:rFonts w:ascii="Times New Roman" w:hAnsi="Times New Roman"/>
          <w:b w:val="1"/>
          <w:sz w:val="22"/>
        </w:rPr>
        <w:t xml:space="preserve">OPĆINSKOG  VIJEĆA</w:t>
      </w:r>
    </w:p>
    <w:p>
      <w:pPr>
        <w:jc w:val="center"/>
        <w:spacing w:lineRule="auto" w:line="240" w:after="0" w:beforeAutospacing="0" w:afterAutospacing="0"/>
        <w:pStyle w:val="P0"/>
        <w:rPr>
          <w:rFonts w:ascii="Times New Roman" w:hAnsi="Times New Roman"/>
          <w:sz w:val="22"/>
        </w:rPr>
      </w:pPr>
      <w:r>
        <w:rPr>
          <w:rFonts w:ascii="Times New Roman" w:hAnsi="Times New Roman"/>
          <w:b w:val="1"/>
          <w:sz w:val="22"/>
        </w:rPr>
        <w:tab/>
      </w:r>
      <w:r>
        <w:rPr>
          <w:rFonts w:ascii="Times New Roman" w:hAnsi="Times New Roman"/>
          <w:b w:val="1"/>
          <w:sz w:val="22"/>
        </w:rPr>
        <w:tab/>
      </w:r>
      <w:r>
        <w:rPr>
          <w:rFonts w:ascii="Times New Roman" w:hAnsi="Times New Roman"/>
          <w:b w:val="1"/>
          <w:sz w:val="22"/>
        </w:rPr>
        <w:tab/>
      </w:r>
      <w:r>
        <w:rPr>
          <w:rFonts w:ascii="Times New Roman" w:hAnsi="Times New Roman"/>
          <w:b w:val="1"/>
          <w:sz w:val="22"/>
        </w:rPr>
        <w:t xml:space="preserve"> </w:t>
      </w:r>
      <w:r>
        <w:rPr>
          <w:rFonts w:ascii="Times New Roman" w:hAnsi="Times New Roman"/>
          <w:b w:val="1"/>
          <w:sz w:val="22"/>
        </w:rPr>
        <w:tab/>
      </w:r>
      <w:r>
        <w:rPr>
          <w:rFonts w:ascii="Times New Roman" w:hAnsi="Times New Roman"/>
          <w:b w:val="1"/>
          <w:sz w:val="22"/>
        </w:rPr>
        <w:tab/>
      </w:r>
      <w:r>
        <w:rPr>
          <w:rFonts w:ascii="Times New Roman" w:hAnsi="Times New Roman"/>
          <w:b w:val="1"/>
          <w:sz w:val="22"/>
        </w:rPr>
        <w:tab/>
      </w:r>
      <w:r>
        <w:rPr>
          <w:rFonts w:ascii="Times New Roman" w:hAnsi="Times New Roman"/>
          <w:b w:val="1"/>
          <w:sz w:val="22"/>
        </w:rPr>
        <w:tab/>
      </w:r>
      <w:r>
        <w:rPr>
          <w:rFonts w:ascii="Times New Roman" w:hAnsi="Times New Roman"/>
          <w:b w:val="1"/>
          <w:sz w:val="22"/>
        </w:rPr>
        <w:t xml:space="preserve">Mario Antonić</w:t>
      </w:r>
    </w:p>
    <w:p>
      <w:pPr>
        <w:spacing w:lineRule="auto" w:line="240" w:after="0" w:beforeAutospacing="0" w:afterAutospacing="0"/>
        <w:pStyle w:val="P0"/>
        <w:rPr>
          <w:rFonts w:ascii="Times New Roman" w:hAnsi="Times New Roman"/>
          <w:sz w:val="22"/>
        </w:rPr>
      </w:pPr>
      <w:r>
        <w:rPr>
          <w:rFonts w:ascii="Times New Roman" w:hAnsi="Times New Roman"/>
          <w:b w:val="1"/>
          <w:sz w:val="22"/>
        </w:rPr>
        <w:t xml:space="preserve"> </w:t>
      </w:r>
    </w:p>
    <w:p>
      <w:pPr>
        <w:spacing w:lineRule="auto" w:line="240" w:after="0" w:beforeAutospacing="0" w:afterAutospacing="0"/>
        <w:pStyle w:val="P0"/>
        <w:rPr>
          <w:sz w:val="24"/>
        </w:rPr>
      </w:pPr>
      <w:r>
        <w:rPr>
          <w:rFonts w:ascii="Times New Roman" w:hAnsi="Times New Roman"/>
          <w:b w:val="1"/>
          <w:sz w:val="20"/>
        </w:rPr>
        <w:t xml:space="preserve"> </w:t>
      </w:r>
    </w:p>
    <w:sectPr>
      <w:headerReference w:type="first" r:id="header1"/>
      <w:headerReference w:type="even" r:id="header2"/>
      <w:headerReference w:type="default" r:id="header3"/>
      <w:footerReference w:type="first" r:id="footer4"/>
      <w:footerReference w:type="even" r:id="footer5"/>
      <w:footerReference w:type="default" r:id="footer6"/>
      <w:type w:val="nextPage"/>
      <w:pgSz w:w="11906" w:h="16838"/>
      <w:pgMar w:left="992" w:right="993"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2"/>
                  <a:stretch>
                    <a:fillRect/>
                  </a:stretch>
                </pic:blipFill>
                <pic:spPr>
                  <a:xfrm>
                    <a:off x="0" y="0"/>
                    <a:ext cx="685800" cy="685800"/>
                  </a:xfrm>
                  <a:prstGeom prst="rect"/>
                  <a:noFill/>
                </pic:spPr>
              </pic:pic>
            </a:graphicData>
          </a:graphic>
        </wp:inline>
      </w:drawing>
    </w: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2" Type="http://schemas.openxmlformats.org/officeDocument/2006/relationships/header" Target="header2.xml"/><Relationship Id="header3" Type="http://schemas.openxmlformats.org/officeDocument/2006/relationships/header" Target="header3.xml"/><Relationship Id="footer4" Type="http://schemas.openxmlformats.org/officeDocument/2006/relationships/footer" Target="footer4.xml"/><Relationship Id="footer5" Type="http://schemas.openxmlformats.org/officeDocument/2006/relationships/footer" Target="footer5.xml"/><Relationship Id="footer6" Type="http://schemas.openxmlformats.org/officeDocument/2006/relationships/footer" Target="footer6.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_rels/header3.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2024-12-19T08:52:36Z</dcterms:created>
  <dcterms:modified xsi:type="dcterms:W3CDTF">2024-12-19T08:52:36Z</dcterms:modified>
</cp:coreProperties>
</file>