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410-01/24-01/3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Na temelju članka 35. Zakona o lokalnoj i područnoj samoupravi (Narodne novine 33/01, 60/01, 129/05, 109/07, 125/08, 36/09, 36/09, 150/11, 144/12, 19/13, 137/15, 123/17, 98/19, 144/20), članka 20. stavka 1. i članka 42.  Zakona o lokalnim porezima (NN 115/16, 101/17, 114/22, 114/23)  i  članka 30. Statuta Općine Hum na Sutli  (Službeni glasnik Krapinsko-zagorske županije“ broj 9/21), općinsko vijeće Općine Hum na Sutli , na sjednici  održanoj 16. prosinca 2024. godine, donijelo je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ODLUKA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 općinskim porezima Općine Hum na Sutli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  <w:u w:val="single"/>
        </w:rPr>
        <w:t xml:space="preserve">I. Opće odredbe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1.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Ovom Odlukom utvrđuju se:</w:t>
      </w:r>
    </w:p>
    <w:p>
      <w:pPr>
        <w:spacing w:lineRule="auto" w:line="240" w:before="0" w:after="0" w:beforeAutospacing="0" w:afterAutospacing="0"/>
        <w:ind w:hanging="36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1.</w:t>
        <w:tab/>
        <w:t xml:space="preserve"> vrste  poreza koji se uvode za područje Općine Hum na Sutli,</w:t>
      </w:r>
    </w:p>
    <w:p>
      <w:pPr>
        <w:spacing w:lineRule="auto" w:line="240" w:before="0" w:after="0" w:beforeAutospacing="0" w:afterAutospacing="0"/>
        <w:ind w:hanging="36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2.</w:t>
        <w:tab/>
        <w:t xml:space="preserve"> visina stope poreza na potrošnju,</w:t>
      </w:r>
    </w:p>
    <w:p>
      <w:pPr>
        <w:spacing w:lineRule="auto" w:line="240" w:before="0" w:after="0" w:beforeAutospacing="0" w:afterAutospacing="0"/>
        <w:ind w:hanging="36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3.</w:t>
        <w:tab/>
        <w:t xml:space="preserve"> visina poreza na kuće za odmor izražena u eurima/m</w:t>
      </w:r>
      <w:r>
        <w:rPr>
          <w:rFonts w:ascii="Times New Roman" w:hAnsi="Times New Roman"/>
          <w:sz w:val="24"/>
        </w:rPr>
        <w:drawing>
          <wp:inline>
            <wp:extent cx="57150" cy="18097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809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 w:val="22"/>
        </w:rPr>
        <w:t>,</w:t>
      </w:r>
    </w:p>
    <w:p>
      <w:pPr>
        <w:spacing w:lineRule="auto" w:line="240" w:before="0" w:after="0" w:beforeAutospacing="0" w:afterAutospacing="0"/>
        <w:ind w:hanging="36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4.</w:t>
        <w:tab/>
        <w:t xml:space="preserve"> prijenos ovlasti za utvrđivanje i naplatu pojedinih gradskih  poreza na Ministarstvo financija, Poreznu upravu.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2.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Općinski porezi jesu:</w:t>
      </w:r>
    </w:p>
    <w:p>
      <w:pPr>
        <w:jc w:val="both"/>
        <w:spacing w:lineRule="auto" w:line="240" w:before="0" w:after="0" w:beforeAutospacing="0" w:afterAutospacing="0"/>
        <w:ind w:hanging="36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1.</w:t>
        <w:tab/>
        <w:t xml:space="preserve"> porez na potrošnju,</w:t>
      </w:r>
    </w:p>
    <w:p>
      <w:pPr>
        <w:jc w:val="both"/>
        <w:spacing w:lineRule="auto" w:line="240" w:before="0" w:after="0" w:beforeAutospacing="0" w:afterAutospacing="0"/>
        <w:ind w:hanging="36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2.</w:t>
        <w:tab/>
        <w:t xml:space="preserve"> porez na kuće za odmor,</w:t>
      </w:r>
    </w:p>
    <w:p>
      <w:pPr>
        <w:jc w:val="both"/>
        <w:spacing w:lineRule="auto" w:line="240" w:before="0" w:after="0" w:beforeAutospacing="0" w:afterAutospacing="0"/>
        <w:ind w:left="36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  <w:u w:val="single"/>
        </w:rPr>
        <w:t xml:space="preserve">II. Vrste općinskih  poreza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1. Porez na potrošnju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3.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Porez na potrošnju plaća se na potrošnju alkoholnih pića (vinjak, rakiju i žestoka pića), prirodnih vina, specijalnih vina, piva i bezalkoholnih pića u ugostiteljskim objektima.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4.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1. Obveznik poreza na potrošnju je pravna i fizička osoba koja pruža ugostiteljske usluge na području  općine Hum na Sutli.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2. Osnovica za obračun poreza na potrošnju je prodajna cijena pića po kojoj se piće proda u  ugostiteljskim objektima, bez poreza na dodanu vrijednost.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3. Obračunsko razdoblje poreza na potrošnju je od prvog do posljednjeg dana u mjesecu.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5.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Porez na potrošnju plaća se po stopi  od 3% 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Poslove utvrđivanja i naplate poreza na potrošnju obavlja nadležno porezno tijelo.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Utvrđenu obvezu poreza na potrošnju porezni obveznik iskazuje na obrascu PP-MI-PO i predaje ga do 20. dana u mjesecu za prethodni mjesec nadležnom poreznom tijelu.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Utvrđenu obvezu porezni obveznik dužan je platiti do posljednjeg dana u mjesecu za prethodni mjesec.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Porez na potrošnju je prihod  Općine Hum na Sutli.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2. Porez na kuće za odmor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6.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1. Porez na kuće za odmor plaćaju sve pravne i fizičke osobe, koje su vlasnici kuća za odmor na  području općine Hum na Sutli.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2. Kućom za odmor smatra se svaka zgrada ili dio zgrade (stan) koji se koristi povremeno ili sezonski.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3. Kućom za odmor ne smatraju se gospodarske zgrade koje služe za smještaj poljoprivrednih  strojeva, oruđa i drugog pribora.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4. Porez na kuće za odmor ne plaća se na kuće za odmor koje se ne mogu koristiti zbog ratnih  razaranja, prirodnih nepogoda te starosti i trošnosti, te na korisnu površinu koja u klijeti služi za    proizvodnju i čuvanje vina.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5. Porez na kuće za odmor ne plaća se na kuće za odmor za vrijeme dok su  u njima smješteni   prognanici i izbjeglice.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6. Porez na kuće za odmor plaća se u iznosu od 1,50 eura po četvornom metru korisne površine u  korist proračunu Općine Hum na Sutli.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7. Obračunsko razdoblje poreza na potrošnju je na godišnjoj razini.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7.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Obveznici poreza iz članka 6. ove odluke dužni su nadležnom poreznom tijelu do 31.3. tekuće godine za koju se utvrđuje porez dostaviti podatke o kući za odmor koji se odnose na mjesto gdje se nalazi taj objekt, korisnu površinu kao i podatke o poreznom obvezniku.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Porez na kuće za odmor se plaća u roku 15 dana od dana dostave rješenja o utvrđivanju tog poreza od nadležnog poreznog tijela.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  <w:u w:val="single"/>
        </w:rPr>
        <w:t xml:space="preserve">III. Prijenos ovlasti i nadležna porezna tijela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8.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1. Poslovi u vezi s utvrđivanjem i naplatom poreza na potrošnju i poreza na kuće za odmor  povjeravaju se Ministarstvu financija, Poreznoj upravi.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2. Stvarno i mjesno nadležna ustrojstvena jedinica Porezne uprave Ministarstva financija je nadležno  porezno tijelo za utvrđivanje i naplatu gradskih poreza iz stavka 1. ovog članka.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3. Ovlašćuje se nadležna organizacija platnog prometa zadužena za naplatu javnih prihoda da  Poreznoj upravi obračuna i uplati naknadu za poslove iz stavka 1. ovog članka u iznosu od 5% od  ukupno naplaćenih prihoda.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4. Obračun i uplata naknade iz stavka 3. ovog članka izvršit će se u korist Državnog proračuna     najkasnije zadnjeg dana u mjesecu za protekli mjesec.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Calibri" w:hAnsi="Calibri"/>
          <w:b w:val="1"/>
          <w:color w:val="000000"/>
          <w:sz w:val="22"/>
          <w:u w:val="single"/>
        </w:rPr>
      </w:pPr>
      <w:r>
        <w:rPr>
          <w:rFonts w:ascii="Calibri" w:hAnsi="Calibri"/>
          <w:b w:val="1"/>
          <w:color w:val="000000"/>
          <w:sz w:val="22"/>
          <w:u w:val="single"/>
        </w:rPr>
        <w:t xml:space="preserve">IV. Prijelazne i završne odredbe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9.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Stupanjem na snagu ove Odluke prestaje važiti  Odluka o općinskim porezima Općine Hum na Sutli („Službeni glasnik Krapinsko-zagorske  županije" 24/17 i 40/17). 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Postupci u svezi s utvrđivanjem i naplatom poreza započeti do dana stupanja na snagu ove Odluke, dovršit će se prema odredbama Odluka iz stavka 1. ovog članka.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10.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Ova Odluka objaviti će se u Službenom glasniku Krapinsko-zagorske  županije, a  primjenjuje se od  01. siječnja 2025. godine.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  <w:tab/>
        <w:tab/>
        <w:tab/>
        <w:tab/>
        <w:tab/>
      </w:r>
    </w:p>
    <w:p>
      <w:pPr>
        <w:jc w:val="both"/>
        <w:spacing w:lineRule="auto" w:line="240" w:before="0" w:after="0" w:beforeAutospacing="0" w:afterAutospacing="0"/>
        <w:pStyle w:val="P0"/>
        <w:rPr>
          <w:rFonts w:ascii="Calibri" w:hAnsi="Calibri"/>
          <w:color w:val="000000"/>
          <w:sz w:val="22"/>
        </w:rPr>
      </w:pPr>
    </w:p>
    <w:p>
      <w:pPr>
        <w:jc w:val="both"/>
        <w:spacing w:lineRule="auto" w:line="240" w:before="0" w:after="0" w:beforeAutospacing="0" w:afterAutospacing="0"/>
        <w:ind w:firstLine="708" w:left="2832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       </w:t>
      </w:r>
      <w:r>
        <w:rPr>
          <w:rFonts w:ascii="Calibri" w:hAnsi="Calibri"/>
          <w:b w:val="1"/>
          <w:color w:val="000000"/>
          <w:sz w:val="22"/>
        </w:rPr>
        <w:t xml:space="preserve"> PREDSJEDNIK  OPĆINSKOG  VIJEĆA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ab/>
        <w:tab/>
        <w:tab/>
        <w:tab/>
        <w:t xml:space="preserve">Mario Antonić</w:t>
        <w:tab/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4"/>
        </w:rPr>
        <w:t xml:space="preserve"> 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4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3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2" Type="http://schemas.openxmlformats.org/officeDocument/2006/relationships/image" Target="media/image2.png"/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2024-12-16T08:15:31Z</dcterms:created>
  <dcterms:modified xsi:type="dcterms:W3CDTF">2024-12-16T08:15:31Z</dcterms:modified>
</cp:coreProperties>
</file>