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400-01/24-01/38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2140-14-01-24-6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 temelju članka 12. Zakona o financiranju vodnog gospodarstva („Narodne novine“ br. 153/09., 90/11, 56/13, 154/14, 119/15, 120/16, 127/17, 66/19) i članka 30. Statuta Općine Hum na Sutli („Službeni glasnik Krapinsko-zagorske županije“ br. 9/21) općinsko vijeće Općine Hum na Sutli na sjednici održanoj 16. prosinca 2024. godine donijelo je slijedeći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Izmjenu Programa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korištenja sredstva ostvarenih od vodnog doprinosa za 2024. godinu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I.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Mijenja se točka II. </w:t>
      </w:r>
      <w:r>
        <w:rPr>
          <w:rFonts w:ascii="Calibri" w:hAnsi="Calibri"/>
          <w:sz w:val="22"/>
        </w:rPr>
        <w:t xml:space="preserve">Programa korištenja sredstava ostvarenih od vodnog doprinosa za 2024. godinu</w:t>
      </w:r>
      <w:r>
        <w:rPr>
          <w:rFonts w:ascii="Calibri" w:hAnsi="Calibri"/>
          <w:sz w:val="22"/>
        </w:rPr>
        <w:t xml:space="preserve"> („Službeni glasnik Krapinsko-zagorske županije“ br. 66A/23) te glasi: 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154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Konto</w:t>
            </w:r>
          </w:p>
        </w:tc>
        <w:tc>
          <w:tcPr>
            <w:tcW w:w="1547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Opis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Plan 2023. (€)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Plan 2024. (€)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Projekcija 2025. (€)</w:t>
            </w:r>
          </w:p>
        </w:tc>
        <w:tc>
          <w:tcPr>
            <w:tcW w:w="1613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Projekcija 2026. (€)</w:t>
            </w:r>
          </w:p>
        </w:tc>
      </w:tr>
    </w:tbl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9396" w:type="dxa"/>
            <w:gridSpan w:val="8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65221</w:t>
              <w:tab/>
              <w:t xml:space="preserve"> Vodni doprinos</w:t>
              <w:tab/>
              <w:tab/>
              <w:t xml:space="preserve"> </w:t>
              <w:tab/>
            </w:r>
          </w:p>
        </w:tc>
      </w:tr>
      <w:tr>
        <w:tc>
          <w:tcPr>
            <w:tcW w:w="9396" w:type="dxa"/>
            <w:gridSpan w:val="8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Aktivnost  A 100001 ODRŽAVANJE CESTA</w:t>
            </w:r>
          </w:p>
        </w:tc>
      </w:tr>
      <w:tr>
        <w:tc>
          <w:tcPr>
            <w:tcW w:w="3377" w:type="dxa"/>
            <w:gridSpan w:val="2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IZVOR 46. VODNI DOPRINOS </w:t>
            </w:r>
          </w:p>
        </w:tc>
        <w:tc>
          <w:tcPr>
            <w:tcW w:w="1513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1342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147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</w:tr>
      <w:tr>
        <w:tc>
          <w:tcPr>
            <w:tcW w:w="927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3232132</w:t>
            </w:r>
          </w:p>
        </w:tc>
        <w:tc>
          <w:tcPr>
            <w:tcW w:w="245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Tekuće i investicijsko održavanje  cesta</w:t>
            </w:r>
          </w:p>
        </w:tc>
        <w:tc>
          <w:tcPr>
            <w:tcW w:w="15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1.150,00</w:t>
            </w:r>
          </w:p>
        </w:tc>
        <w:tc>
          <w:tcPr>
            <w:tcW w:w="1342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500,00</w:t>
            </w:r>
          </w:p>
        </w:tc>
        <w:tc>
          <w:tcPr>
            <w:tcW w:w="1662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1.000,00</w:t>
            </w:r>
          </w:p>
        </w:tc>
        <w:tc>
          <w:tcPr>
            <w:tcW w:w="1502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1.000,00</w:t>
            </w:r>
          </w:p>
        </w:tc>
      </w:tr>
      <w:tr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24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</w:tr>
    </w:tbl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II.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Ovaj izmjena  Programa objavljuje se u „Službenom glasniku Krapinsko-zagorske županije“.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ind w:firstLine="142" w:left="4535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sz w:val="22"/>
        </w:rPr>
        <w:t xml:space="preserve">PREDSJEDNIK  OPĆINSKOG VIJEĆA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sz w:val="22"/>
        </w:rPr>
        <w:tab/>
        <w:t xml:space="preserve">   </w:t>
        <w:tab/>
        <w:tab/>
        <w:tab/>
        <w:tab/>
        <w:tab/>
        <w:tab/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2024-12-16T14:55:55Z</dcterms:created>
  <dcterms:modified xsi:type="dcterms:W3CDTF">2024-12-16T14:55:55Z</dcterms:modified>
</cp:coreProperties>
</file>