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2140-14-01-24-5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sz w:val="20"/>
        </w:rPr>
        <w:t xml:space="preserve">Na temelju članka 27. stavka 1.  Zakona o prodaji stanova na kojima postoji stanarsko pravo («Narodne novine» broj 43/92-pročišćen tekst, 69/92., 25/93., 26/93., 48/93., 2/94., 29/94., 44/94., 47/94., 58/95., 103/95, 11/96., 11/97., 68/98., 163/98, 22/99,  96/99., 120/00,  94/01. i 78/02.) i članka 30. Statuta Općine Hum na Sutli («Službeni glasnik Krapinsko-zagorske županije» br. 9/21) općinsko vijeće Općine Hum na Sutli na sjednici održanoj 16. prosinac 2024. godine donijelo je slijedeći </w:t>
      </w:r>
      <w:r>
        <w:rPr>
          <w:rFonts w:ascii="Times New Roman" w:hAnsi="Times New Roman"/>
          <w:sz w:val="20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Izmjenu Programa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korištenja sredstava ostvarenih od prodaje stanova na kojima postoji stanarsko pravo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u 2024. godini</w:t>
      </w:r>
    </w:p>
    <w:p>
      <w:pPr>
        <w:jc w:val="center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 xml:space="preserve">Članak 1.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Mijenja se članak 1. Programa </w:t>
      </w:r>
      <w:r>
        <w:rPr>
          <w:rFonts w:ascii="Calibri" w:hAnsi="Calibri"/>
          <w:sz w:val="20"/>
        </w:rPr>
        <w:t xml:space="preserve">korištenja sredstava ostvarenih od prodaje stanova na kojima postoji stanarsko pravo  u 2024. godini </w:t>
      </w:r>
      <w:r>
        <w:rPr>
          <w:rFonts w:ascii="Calibri" w:hAnsi="Calibri"/>
          <w:sz w:val="20"/>
        </w:rPr>
        <w:t xml:space="preserve">(„Službeni glasnik Krapinsko-zagorske županije“ br. 66A/23) te glasi: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>Opis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Plan 2023.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Plan 2024.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2025.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2026. (€)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vanish w:val="1"/>
          <w:sz w:val="20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056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721190 Prihod od prodaje građevinskih objekata </w:t>
            </w:r>
          </w:p>
        </w:tc>
      </w:tr>
      <w:tr>
        <w:tc>
          <w:tcPr>
            <w:tcW w:w="9056" w:type="dxa"/>
            <w:gridSpan w:val="9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100001 ODRŽAVANJE GRAĐEVINSKIH OBJEKATA</w:t>
            </w:r>
          </w:p>
        </w:tc>
      </w:tr>
      <w:tr>
        <w:tc>
          <w:tcPr>
            <w:tcW w:w="3176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711. PRIHOD OD PRODAJE STANOVA NA KOJIMA POSTOJI STANARSKO PRAVO </w:t>
            </w:r>
          </w:p>
        </w:tc>
        <w:tc>
          <w:tcPr>
            <w:tcW w:w="148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5.400,00</w:t>
            </w:r>
          </w:p>
        </w:tc>
        <w:tc>
          <w:tcPr>
            <w:tcW w:w="1477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3.450,00</w:t>
            </w:r>
          </w:p>
        </w:tc>
        <w:tc>
          <w:tcPr>
            <w:tcW w:w="1484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3.500,00</w:t>
            </w:r>
          </w:p>
        </w:tc>
        <w:tc>
          <w:tcPr>
            <w:tcW w:w="14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2.000,00</w:t>
            </w:r>
          </w:p>
        </w:tc>
      </w:tr>
      <w:tr>
        <w:tc>
          <w:tcPr>
            <w:tcW w:w="84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>32347</w:t>
            </w:r>
          </w:p>
        </w:tc>
        <w:tc>
          <w:tcPr>
            <w:tcW w:w="235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Pričuva</w:t>
            </w:r>
          </w:p>
        </w:tc>
        <w:tc>
          <w:tcPr>
            <w:tcW w:w="147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1.350,00</w:t>
            </w:r>
          </w:p>
        </w:tc>
        <w:tc>
          <w:tcPr>
            <w:tcW w:w="146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1.200,00</w:t>
            </w:r>
          </w:p>
        </w:tc>
        <w:tc>
          <w:tcPr>
            <w:tcW w:w="146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1.350,00</w:t>
            </w:r>
          </w:p>
        </w:tc>
        <w:tc>
          <w:tcPr>
            <w:tcW w:w="146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1.350,00</w:t>
            </w:r>
          </w:p>
        </w:tc>
      </w:tr>
      <w:tr>
        <w:tc>
          <w:tcPr>
            <w:tcW w:w="9056" w:type="dxa"/>
            <w:gridSpan w:val="9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100001 ZBRINJAVANJE SOCIJALNO UGROŽENIH </w:t>
            </w:r>
          </w:p>
        </w:tc>
      </w:tr>
      <w:tr>
        <w:tc>
          <w:tcPr>
            <w:tcW w:w="84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sz w:val="20"/>
              </w:rPr>
              <w:t>372242</w:t>
            </w:r>
          </w:p>
        </w:tc>
        <w:tc>
          <w:tcPr>
            <w:tcW w:w="235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Prehrana, odjeća i obuća socijalno ugroženima </w:t>
            </w:r>
          </w:p>
        </w:tc>
        <w:tc>
          <w:tcPr>
            <w:tcW w:w="147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>4,050,00</w:t>
            </w:r>
          </w:p>
        </w:tc>
        <w:tc>
          <w:tcPr>
            <w:tcW w:w="146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2.250,00</w:t>
            </w:r>
          </w:p>
        </w:tc>
        <w:tc>
          <w:tcPr>
            <w:tcW w:w="146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2.150,00</w:t>
            </w:r>
          </w:p>
        </w:tc>
        <w:tc>
          <w:tcPr>
            <w:tcW w:w="146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>650,00</w:t>
            </w:r>
          </w:p>
        </w:tc>
      </w:tr>
      <w:tr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sz w:val="20"/>
        </w:rPr>
        <w:t xml:space="preserve">Ova izmjena Programa objavljuje se u „Službenom glasniku Krapinsko-zagorske </w:t>
      </w:r>
      <w:r>
        <w:rPr>
          <w:rFonts w:ascii="Calibri" w:hAnsi="Calibri"/>
          <w:sz w:val="20"/>
        </w:rPr>
        <w:t xml:space="preserve">županije“. </w:t>
      </w:r>
    </w:p>
    <w:p>
      <w:pPr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0"/>
        </w:rPr>
      </w:pPr>
      <w:r>
        <w:rPr>
          <w:rFonts w:ascii="Calibri" w:hAnsi="Calibri"/>
          <w:sz w:val="20"/>
        </w:rPr>
        <w:t xml:space="preserve"> </w:t>
      </w:r>
    </w:p>
    <w:p>
      <w:pPr>
        <w:jc w:val="both"/>
        <w:spacing w:lineRule="auto" w:line="240" w:after="0" w:beforeAutospacing="0" w:afterAutospacing="0"/>
        <w:ind w:firstLine="142" w:left="4535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 xml:space="preserve">PREDSJEDNIK  OPĆINSKOG VIJEĆA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ab/>
        <w:t xml:space="preserve">   </w:t>
        <w:tab/>
        <w:tab/>
        <w:tab/>
        <w:tab/>
        <w:tab/>
        <w:tab/>
        <w:t xml:space="preserve">Mario Antonić</w:t>
      </w:r>
    </w:p>
    <w:p>
      <w:pPr>
        <w:jc w:val="left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b w:val="1"/>
          <w:sz w:val="16"/>
        </w:rPr>
      </w:pPr>
    </w:p>
    <w:p>
      <w:pPr>
        <w:jc w:val="left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b w:val="1"/>
          <w:sz w:val="16"/>
        </w:rPr>
      </w:pPr>
    </w:p>
    <w:p>
      <w:pPr>
        <w:jc w:val="left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</w:t>
      </w:r>
      <w:r>
        <w:rPr>
          <w:rFonts w:ascii="Times New Roman" w:hAnsi="Times New Roman"/>
          <w:sz w:val="16"/>
        </w:rPr>
        <w:t xml:space="preserve">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2024-12-16T14:53:32Z</dcterms:created>
  <dcterms:modified xsi:type="dcterms:W3CDTF">2024-12-16T14:53:32Z</dcterms:modified>
</cp:coreProperties>
</file>