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400-01/24-01/38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2140-14-01-24-2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16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prosinca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9. Zakona o financiranju javnih potreba u kulturi («Narodne novine» 47/90.,27/93. i 38/09), članka 30. Statuta Općine Hum na Sutli («Službeni glasnik Krapinsko-zagorske županije» br. 9/21), te Pravilnika o sufinanciranju udruga koje djeluju na području općine Hum na Sutli, općinsko vijeće Općine Hum na Sutli na sjednici održanoj 16. prosinca 2024. godine donijelo je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Izmjenu Programa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javnih potreba u kulturi i društvenih djelatnosti Općine Hum na Sutli za 2024.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Mijenja se članak 5. Programa javnih potreba u kulturi i društvenih djelatnosti Općine Hum na Sutli za 2024. godinu („Službeni glasnik Krapinsko-zagorske županije“ br. 66A/23) te glasi: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b w:val="1"/>
                <w:sz w:val="22"/>
              </w:rPr>
              <w:t>Konto</w:t>
            </w:r>
          </w:p>
        </w:tc>
        <w:tc>
          <w:tcPr>
            <w:tcW w:w="1672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Opis</w:t>
            </w:r>
          </w:p>
        </w:tc>
        <w:tc>
          <w:tcPr>
            <w:tcW w:w="1290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</w:t>
            </w:r>
          </w:p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b w:val="1"/>
                <w:sz w:val="22"/>
              </w:rPr>
              <w:t xml:space="preserve">2023. (€)</w:t>
            </w:r>
          </w:p>
        </w:tc>
        <w:tc>
          <w:tcPr>
            <w:tcW w:w="127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Plan </w:t>
            </w:r>
          </w:p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</w:t>
            </w:r>
            <w:r>
              <w:rPr>
                <w:rFonts w:ascii="Calibri" w:hAnsi="Calibri"/>
                <w:b w:val="1"/>
                <w:sz w:val="22"/>
              </w:rPr>
              <w:t xml:space="preserve">2024. (€)</w:t>
            </w:r>
          </w:p>
        </w:tc>
        <w:tc>
          <w:tcPr>
            <w:tcW w:w="113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2025. (€)</w:t>
            </w:r>
          </w:p>
        </w:tc>
        <w:tc>
          <w:tcPr>
            <w:tcW w:w="141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Projekcija 2026.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vanish w:val="1"/>
          <w:sz w:val="24"/>
        </w:rPr>
        <w:t xml:space="preserve">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3285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IZVOR 11.  OPĆI PRIHODI I PRIMICI </w:t>
            </w:r>
          </w:p>
        </w:tc>
        <w:tc>
          <w:tcPr>
            <w:tcW w:w="1260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 xml:space="preserve"> 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381141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Donacija Limenoj glazbi Straža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670,00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1.500,00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1.400,00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1.400,00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381142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Donacija KUD Rikard Jorgovanić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13.300,00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15.000,00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15.000,00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15.000,00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381144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Kulturne priredbe u i izvan općine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3.000,00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4.000</w:t>
            </w:r>
            <w:r>
              <w:rPr>
                <w:rFonts w:ascii="Calibri" w:hAnsi="Calibri"/>
                <w:sz w:val="20"/>
              </w:rPr>
              <w:t>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381147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Donacije za kulturne manifestacije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8.000,00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15.000</w:t>
            </w:r>
            <w:r>
              <w:rPr>
                <w:rFonts w:ascii="Calibri" w:hAnsi="Calibri"/>
                <w:sz w:val="20"/>
              </w:rPr>
              <w:t>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20.000,00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20.000,00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3811448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Kulturne priredbe i manifestacije 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6.600,00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6.600,00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6.600,00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329996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Ostali nespomenuti rashodi poslovanja - hortikulturno uređenje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381123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Donacije vjerskim zajednicama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10.000,00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5.000,00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5.000,00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5.000,00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381145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Tekuće donacije udrugama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32.000,00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80.000,00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40.000,00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40.000,00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38117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Tekuće donacije građanima i kućanstvima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2.000,00</w:t>
            </w:r>
          </w:p>
        </w:tc>
      </w:tr>
      <w:tr>
        <w:tc>
          <w:tcPr>
            <w:tcW w:w="94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0"/>
              </w:rPr>
              <w:t>381193</w:t>
            </w:r>
          </w:p>
        </w:tc>
        <w:tc>
          <w:tcPr>
            <w:tcW w:w="234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Donacije županijskim udrugama</w:t>
            </w:r>
          </w:p>
        </w:tc>
        <w:tc>
          <w:tcPr>
            <w:tcW w:w="126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1.350,00</w:t>
            </w:r>
          </w:p>
        </w:tc>
        <w:tc>
          <w:tcPr>
            <w:tcW w:w="120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2.500,00</w:t>
            </w:r>
          </w:p>
        </w:tc>
        <w:tc>
          <w:tcPr>
            <w:tcW w:w="123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1.300,00</w:t>
            </w:r>
          </w:p>
        </w:tc>
        <w:tc>
          <w:tcPr>
            <w:tcW w:w="1368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</w:t>
            </w:r>
            <w:r>
              <w:rPr>
                <w:rFonts w:ascii="Calibri" w:hAnsi="Calibri"/>
                <w:sz w:val="20"/>
              </w:rPr>
              <w:t>1.300,00</w:t>
            </w:r>
          </w:p>
        </w:tc>
      </w:tr>
      <w:tr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b w:val="1"/>
          <w:sz w:val="24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Ovaj izmjena Programa objavljuje se u „Službenom glasniku Krapinsko-zagorske županije“.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142" w:left="4535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PREDSJEDNIK 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  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2024-12-16T14:49:52Z</dcterms:created>
  <dcterms:modified xsi:type="dcterms:W3CDTF">2024-12-16T14:49:52Z</dcterms:modified>
</cp:coreProperties>
</file>