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noProof w:val="1"/>
          <w:sz w:val="22"/>
        </w:rPr>
        <w:t>Općina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Hum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na</w:t>
      </w:r>
      <w:r>
        <w:rPr>
          <w:rFonts w:ascii="Calibri" w:hAnsi="Calibri"/>
          <w:b w:val="1"/>
          <w:sz w:val="22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color w:val="000000"/>
          <w:sz w:val="22"/>
        </w:rPr>
      </w:pPr>
      <w:r>
        <w:rPr>
          <w:rFonts w:ascii="Calibri" w:hAnsi="Calibri"/>
          <w:b w:val="1"/>
          <w:noProof w:val="1"/>
          <w:color w:val="000000"/>
          <w:sz w:val="22"/>
        </w:rPr>
        <w:t>Općinsko</w:t>
      </w:r>
      <w:r>
        <w:rPr>
          <w:rFonts w:ascii="Calibri" w:hAnsi="Calibri"/>
          <w:b w:val="1"/>
          <w:noProof w:val="1"/>
          <w:color w:val="000000"/>
          <w:sz w:val="22"/>
        </w:rPr>
        <w:t xml:space="preserve"> </w:t>
      </w:r>
      <w:r>
        <w:rPr>
          <w:rFonts w:ascii="Calibri" w:hAnsi="Calibri"/>
          <w:b w:val="1"/>
          <w:noProof w:val="1"/>
          <w:color w:val="000000"/>
          <w:sz w:val="22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KLASA: </w:t>
      </w:r>
      <w:r>
        <w:rPr>
          <w:rFonts w:ascii="Calibri" w:hAnsi="Calibri"/>
          <w:sz w:val="22"/>
        </w:rPr>
        <w:t>240-05/24-01/5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URBROJ: </w:t>
      </w:r>
      <w:r>
        <w:rPr>
          <w:rFonts w:ascii="Calibri" w:hAnsi="Calibri"/>
          <w:noProof w:val="1"/>
          <w:sz w:val="22"/>
        </w:rPr>
        <w:t>2140-14-01-24-1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i w:val="1"/>
          <w:sz w:val="22"/>
        </w:rPr>
      </w:pPr>
      <w:r>
        <w:rPr>
          <w:rFonts w:ascii="Calibri" w:hAnsi="Calibri"/>
          <w:noProof w:val="1"/>
          <w:sz w:val="22"/>
        </w:rPr>
        <w:t>Hum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na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Sutli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noProof w:val="1"/>
          <w:sz w:val="22"/>
        </w:rPr>
        <w:t>16</w:t>
      </w:r>
      <w:r>
        <w:rPr>
          <w:rFonts w:ascii="Calibri" w:hAnsi="Calibri"/>
          <w:noProof w:val="1"/>
          <w:sz w:val="22"/>
        </w:rPr>
        <w:t>.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prosinca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sz w:val="22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Temeljem članka 17. Zakona o sustavu civilne zaštite (NN br. 82/15, 118/18, 31/20, 20/21 i 114/22)  i članka 30. Statuta Općine Hum na Sutli (Službeni glasnik Općine Hum na Sutli broj 9/21) općinsko vijeće Općine Hum na Sutli na sjednici održanoj dana 16. prosinac  2024. godine  donijelo je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center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ANALIZU STANJA SUSTAVA  CIVILNE ZAŠTITE </w:t>
      </w:r>
    </w:p>
    <w:p>
      <w:pPr>
        <w:jc w:val="center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NA PODRUČJU OPĆINE HUM NA SUTLI </w:t>
      </w:r>
    </w:p>
    <w:p>
      <w:pPr>
        <w:jc w:val="center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ZA 2024. GODINU</w:t>
      </w: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 </w:t>
      </w: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I.   UVOD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ab/>
        <w:t xml:space="preserve"> Sukladno članku 17. Zakona o sustavu civilne zaštite  (Narodne novine broj 82/15, 118/18, 31/20, 20/21 i 114/22) Općinsko vijeće Općine Hum na Sutli kao predstavničko tijelo jedinice lokalne samouprave u obvezi je, jedan put godišnje ili u  postupku donošenja Proračuna, razmatrati stanje civilne  zaštite  na svom području.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ab/>
        <w:t xml:space="preserve"> Općina kao jedinica lokalne samouprave dužna je organizirati poslove iz samoupravnog djelokruga koji se odnose na planiranje, razvoj, učinkovito funkcioniranje i financiranje sustava civilne zaštite.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II.   ANALIZA STANJA UGROŽENOSTI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ab/>
        <w:t xml:space="preserve">Razmatranje stanja kao prvi korak podrazumijeva analizu stanja ugroženosti stanovništva, te materijalnih i kulturnih dobara, koja procjenjuje moguće oblike  opasnosti i prijetnje te njihove moguće posljedice na stanovništvo, materijalna i kulturna dobra, te okoliša iz koje proizlazi sljedeće:</w:t>
      </w:r>
    </w:p>
    <w:p>
      <w:pPr>
        <w:jc w:val="both"/>
        <w:spacing w:lineRule="auto" w:line="240" w:before="0" w:after="0" w:beforeAutospacing="0" w:afterAutospacing="0"/>
        <w:ind w:hanging="360" w:left="786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>·</w:t>
        <w:tab/>
        <w:t xml:space="preserve"> Područje općine obilježavaju slijedeći vodotoci:</w:t>
      </w:r>
    </w:p>
    <w:p>
      <w:pPr>
        <w:jc w:val="both"/>
        <w:spacing w:lineRule="auto" w:line="240" w:before="0" w:after="0" w:beforeAutospacing="0" w:afterAutospacing="0"/>
        <w:ind w:hanging="360" w:left="1506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Ø  Rijeka Sutla</w:t>
      </w:r>
    </w:p>
    <w:p>
      <w:pPr>
        <w:jc w:val="both"/>
        <w:spacing w:lineRule="auto" w:line="240" w:before="0" w:after="0" w:beforeAutospacing="0" w:afterAutospacing="0"/>
        <w:ind w:hanging="360" w:left="1506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Ø  Potok Kosteljina</w:t>
      </w:r>
    </w:p>
    <w:p>
      <w:pPr>
        <w:jc w:val="both"/>
        <w:spacing w:lineRule="auto" w:line="240" w:before="0" w:after="0" w:beforeAutospacing="0" w:afterAutospacing="0"/>
        <w:ind w:hanging="360" w:left="1506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Ø  Potok Brezna</w:t>
      </w:r>
    </w:p>
    <w:p>
      <w:pPr>
        <w:jc w:val="both"/>
        <w:spacing w:lineRule="auto" w:line="240" w:before="0" w:after="0" w:beforeAutospacing="0" w:afterAutospacing="0"/>
        <w:ind w:hanging="360" w:left="1506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Ø  Potok Polanovec</w:t>
      </w:r>
    </w:p>
    <w:p>
      <w:pPr>
        <w:jc w:val="both"/>
        <w:spacing w:lineRule="auto" w:line="240" w:before="0" w:after="0" w:beforeAutospacing="0" w:afterAutospacing="0"/>
        <w:ind w:left="786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Poplavama u slivu Sutle, kojem pripada i Općina Hum na Sutli, najviše su izložene poljoprivredne površine (pašnjaci i livade), a nakon njih prometnice, šume, naselja sa gospodarskim i stambenim objektima (podrumske prostorije) i vodovodi. Plavljenja nisu takvog obima da bi dovela u pitanje funkcioniranje stanovništva Općine ili infrastrukture. </w:t>
      </w:r>
    </w:p>
    <w:p>
      <w:pPr>
        <w:jc w:val="both"/>
        <w:spacing w:lineRule="auto" w:line="240" w:before="0" w:after="0" w:beforeAutospacing="0" w:afterAutospacing="0"/>
        <w:ind w:left="786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U 2024. godini</w:t>
      </w:r>
      <w:r>
        <w:rPr>
          <w:rFonts w:ascii="Calibri" w:hAnsi="Calibri"/>
          <w:color w:val="000000"/>
          <w:sz w:val="22"/>
        </w:rPr>
        <w:t xml:space="preserve"> nije bilo proglašenih elementarnih nepogoda zbog poplava, bujica il</w:t>
      </w:r>
      <w:r>
        <w:rPr>
          <w:rFonts w:ascii="Times New Roman" w:hAnsi="Times New Roman"/>
          <w:color w:val="000000"/>
          <w:sz w:val="24"/>
        </w:rPr>
        <w:t xml:space="preserve">i </w:t>
      </w:r>
      <w:r>
        <w:rPr>
          <w:rFonts w:ascii="Calibri" w:hAnsi="Calibri"/>
          <w:color w:val="000000"/>
          <w:sz w:val="22"/>
        </w:rPr>
        <w:t xml:space="preserve">plavljenja, niti korištenja snaga civilne zaštite u provođenju mjera civilne zaštite. Eventualni problemi rješavani su upotrebom gotovih snaga.  </w:t>
      </w:r>
    </w:p>
    <w:p>
      <w:pPr>
        <w:jc w:val="both"/>
        <w:spacing w:lineRule="auto" w:line="240" w:before="0" w:after="0" w:beforeAutospacing="0" w:afterAutospacing="0"/>
        <w:ind w:hanging="283" w:left="709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>·</w:t>
        <w:tab/>
        <w:t xml:space="preserve"> Prema seizmološkoj karti Krapinsko - zagorske županije, za period od 500 godine, područje Općine nalazi se u  VIIº  seizmičkoj zoni prema  MSK ljestvici. </w:t>
      </w:r>
    </w:p>
    <w:p>
      <w:pPr>
        <w:jc w:val="both"/>
        <w:spacing w:lineRule="auto" w:line="240" w:before="0" w:after="0" w:beforeAutospacing="0" w:afterAutospacing="0"/>
        <w:ind w:left="786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U 2024. godini</w:t>
      </w:r>
      <w:r>
        <w:rPr>
          <w:rFonts w:ascii="Calibri" w:hAnsi="Calibri"/>
          <w:color w:val="000000"/>
          <w:sz w:val="22"/>
        </w:rPr>
        <w:t xml:space="preserve"> nije došlo do seizmoloških aktivnosti VII ili VIIIº</w:t>
      </w:r>
      <w:r>
        <w:rPr>
          <w:rFonts w:ascii="Calibri" w:hAnsi="Calibri"/>
          <w:b w:val="1"/>
          <w:color w:val="000000"/>
          <w:sz w:val="22"/>
        </w:rPr>
        <w:t xml:space="preserve"> , </w:t>
      </w:r>
      <w:r>
        <w:rPr>
          <w:rFonts w:ascii="Calibri" w:hAnsi="Calibri"/>
          <w:color w:val="000000"/>
          <w:sz w:val="22"/>
        </w:rPr>
        <w:t xml:space="preserve">odnosno, nije bilo aktiviranja snaga civilne zaštite vezano uz ugrozu od potresa.</w:t>
      </w:r>
    </w:p>
    <w:p>
      <w:pPr>
        <w:jc w:val="both"/>
        <w:spacing w:lineRule="auto" w:line="240" w:before="0" w:after="0" w:beforeAutospacing="0" w:afterAutospacing="0"/>
        <w:ind w:hanging="283" w:left="786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>·</w:t>
        <w:tab/>
        <w:t xml:space="preserve"> </w:t>
      </w:r>
      <w:r>
        <w:rPr>
          <w:rFonts w:ascii="Calibri" w:hAnsi="Calibri"/>
          <w:b w:val="1"/>
          <w:color w:val="000000"/>
          <w:sz w:val="22"/>
        </w:rPr>
        <w:t xml:space="preserve">Požari otvorenog prostora</w:t>
      </w:r>
      <w:r>
        <w:rPr>
          <w:rFonts w:ascii="Calibri" w:hAnsi="Calibri"/>
          <w:color w:val="000000"/>
          <w:sz w:val="22"/>
        </w:rPr>
        <w:t xml:space="preserve"> mogući su na šumskim i poljoprivrednim površinama. U 2024. godini, do 15. studenog 2024. bilo je 1 požar otvorenog prostora na području Općine. Tijekom 2024. godine bilo je sveukupno 149  intervencija vatrogasaca od čega 6 intervencija na gašenju požara na objektima građana i industrijskih postrojenja, te 123 tehničkih intervencija na poziv građana (ispumpavanje podruma, uklanjanje srušenih stabala, sanacija prometnica, otvaranje stambenog prostora i sl.). Izvršeno je 4 kontroliranih spaljivanja i 9 protupožarna ophodnja te 6 prijevoza vode po nalogu Načelnika. </w:t>
      </w:r>
    </w:p>
    <w:p>
      <w:pPr>
        <w:jc w:val="both"/>
        <w:spacing w:lineRule="auto" w:line="240" w:before="0" w:after="0" w:beforeAutospacing="0" w:afterAutospacing="0"/>
        <w:ind w:left="503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ff0000"/>
          <w:sz w:val="22"/>
        </w:rPr>
        <w:t xml:space="preserve"> </w:t>
      </w:r>
    </w:p>
    <w:p>
      <w:pPr>
        <w:jc w:val="both"/>
        <w:spacing w:lineRule="auto" w:line="240" w:before="0" w:after="0" w:beforeAutospacing="0" w:afterAutospacing="0"/>
        <w:ind w:hanging="283" w:left="786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>·</w:t>
        <w:tab/>
        <w:t xml:space="preserve"> Na području Općine Hum na Sutli trenutno ima 10-tak evidentiranih </w:t>
      </w:r>
      <w:r>
        <w:rPr>
          <w:rFonts w:ascii="Calibri" w:hAnsi="Calibri"/>
          <w:b w:val="1"/>
          <w:color w:val="000000"/>
          <w:sz w:val="22"/>
        </w:rPr>
        <w:t>klizišta</w:t>
      </w:r>
      <w:r>
        <w:rPr>
          <w:rFonts w:ascii="Calibri" w:hAnsi="Calibri"/>
          <w:color w:val="000000"/>
          <w:sz w:val="22"/>
        </w:rPr>
        <w:t xml:space="preserve"> koja su u postupku saniranja ili prikupljanja dokumentacije za provedbu saniranja. </w:t>
      </w:r>
    </w:p>
    <w:p>
      <w:pPr>
        <w:jc w:val="both"/>
        <w:spacing w:lineRule="auto" w:line="240" w:before="0" w:after="0" w:beforeAutospacing="0" w:afterAutospacing="0"/>
        <w:ind w:left="709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U 2024. godini</w:t>
      </w:r>
      <w:r>
        <w:rPr>
          <w:rFonts w:ascii="Calibri" w:hAnsi="Calibri"/>
          <w:color w:val="000000"/>
          <w:sz w:val="22"/>
        </w:rPr>
        <w:t xml:space="preserve"> nije bilo potrebe za aktiviranjem snaga CZ uslijed degradacije tla.</w:t>
      </w:r>
    </w:p>
    <w:p>
      <w:pPr>
        <w:jc w:val="both"/>
        <w:spacing w:lineRule="auto" w:line="240" w:before="0" w:after="0" w:beforeAutospacing="0" w:afterAutospacing="0"/>
        <w:ind w:left="709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both"/>
        <w:spacing w:lineRule="auto" w:line="240" w:before="0" w:after="0" w:beforeAutospacing="0" w:afterAutospacing="0"/>
        <w:ind w:hanging="283" w:left="709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>·</w:t>
        <w:tab/>
        <w:t xml:space="preserve"> Na području Općine Hum na Sutli</w:t>
      </w:r>
      <w:r>
        <w:rPr>
          <w:rFonts w:ascii="Calibri" w:hAnsi="Calibri"/>
          <w:b w:val="1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 xml:space="preserve">postoje tri </w:t>
      </w:r>
      <w:r>
        <w:rPr>
          <w:rFonts w:ascii="Calibri" w:hAnsi="Calibri"/>
          <w:b w:val="1"/>
          <w:color w:val="000000"/>
          <w:sz w:val="22"/>
        </w:rPr>
        <w:t xml:space="preserve">imaoca opasnih tvari:</w:t>
      </w: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both"/>
        <w:spacing w:lineRule="auto" w:line="240" w:before="0" w:after="0" w:beforeAutospacing="0" w:afterAutospacing="0"/>
        <w:ind w:firstLine="348" w:left="786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Ø Krklec trgovina d.o.o., Benzinska postaja</w:t>
      </w:r>
    </w:p>
    <w:p>
      <w:pPr>
        <w:jc w:val="both"/>
        <w:spacing w:lineRule="auto" w:line="240" w:before="0" w:after="0" w:beforeAutospacing="0" w:afterAutospacing="0"/>
        <w:ind w:firstLine="348" w:left="786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Ø OMCO Croatia d.o.o. </w:t>
      </w:r>
    </w:p>
    <w:p>
      <w:pPr>
        <w:jc w:val="both"/>
        <w:spacing w:lineRule="auto" w:line="240" w:before="0" w:after="0" w:beforeAutospacing="0" w:afterAutospacing="0"/>
        <w:ind w:firstLine="348" w:left="786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Ø Vetropack straža d.d., Hum na Sutli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ab/>
        <w:t xml:space="preserve"> Obzirom da postoji nekoliko imaoca opasnih tvari, postoji realna mogućnost nastanka nesreće  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ab/>
        <w:t xml:space="preserve"> sa opasnim tvarima te mogućnost ugrožavanja stanovnika Općine Hum na Sutli. 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ab/>
        <w:t xml:space="preserve">  </w:t>
      </w:r>
      <w:r>
        <w:rPr>
          <w:rFonts w:ascii="Calibri" w:hAnsi="Calibri"/>
          <w:b w:val="1"/>
          <w:color w:val="000000"/>
          <w:sz w:val="22"/>
        </w:rPr>
        <w:t xml:space="preserve"> U 2024. godini </w:t>
      </w:r>
      <w:r>
        <w:rPr>
          <w:rFonts w:ascii="Calibri" w:hAnsi="Calibri"/>
          <w:color w:val="000000"/>
          <w:sz w:val="22"/>
        </w:rPr>
        <w:t xml:space="preserve">nije bilo akcidenta sa opasnim tvarima na objektima koji posjeduju opasne tvari.  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both"/>
        <w:spacing w:lineRule="auto" w:line="240" w:before="0" w:after="0" w:beforeAutospacing="0" w:afterAutospacing="0"/>
        <w:ind w:hanging="283" w:left="709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>·</w:t>
        <w:tab/>
        <w:t xml:space="preserve"> Prometnicama Općine Hum na Sutli ne smije se vršiti </w:t>
      </w:r>
      <w:r>
        <w:rPr>
          <w:rFonts w:ascii="Calibri" w:hAnsi="Calibri"/>
          <w:b w:val="1"/>
          <w:color w:val="000000"/>
          <w:sz w:val="22"/>
        </w:rPr>
        <w:t xml:space="preserve">prijevoz opasnih tvari</w:t>
      </w:r>
      <w:r>
        <w:rPr>
          <w:rFonts w:ascii="Calibri" w:hAnsi="Calibri"/>
          <w:color w:val="000000"/>
          <w:sz w:val="22"/>
        </w:rPr>
        <w:t xml:space="preserve">, osim u slučajevima snabdijevanja lokalnog stanovništva i gospodarskih subjekata. </w:t>
      </w:r>
    </w:p>
    <w:p>
      <w:pPr>
        <w:jc w:val="both"/>
        <w:spacing w:lineRule="auto" w:line="240" w:before="0" w:after="0" w:beforeAutospacing="0" w:afterAutospacing="0"/>
        <w:ind w:left="709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U 2024. godini</w:t>
      </w:r>
      <w:r>
        <w:rPr>
          <w:rFonts w:ascii="Calibri" w:hAnsi="Calibri"/>
          <w:color w:val="000000"/>
          <w:sz w:val="22"/>
        </w:rPr>
        <w:t xml:space="preserve"> nije bilo nesreća sa opasnim tvarima u prometu.</w:t>
      </w:r>
    </w:p>
    <w:p>
      <w:pPr>
        <w:jc w:val="both"/>
        <w:spacing w:lineRule="auto" w:line="240" w:before="0" w:after="0" w:beforeAutospacing="0" w:afterAutospacing="0"/>
        <w:ind w:left="709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both"/>
        <w:spacing w:lineRule="auto" w:line="240" w:before="0" w:after="0" w:beforeAutospacing="0" w:afterAutospacing="0"/>
        <w:ind w:hanging="283" w:left="709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>·</w:t>
        <w:tab/>
        <w:t xml:space="preserve"> Republika Hrvatska na svojem području nema nuklearne elektrane, međutim u njenoj neposrednoj blizini nalaze se NE Krško u Sloveniji i NE Pakš u Mađarskoj.</w:t>
      </w:r>
    </w:p>
    <w:p>
      <w:pPr>
        <w:jc w:val="both"/>
        <w:spacing w:lineRule="auto" w:line="240" w:before="0" w:after="0" w:beforeAutospacing="0" w:afterAutospacing="0"/>
        <w:ind w:left="709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Općina Hum na Sutli nalazi se u zoni B2 – zoni potencijalne ugroženosti od nuklearne elektrane Krško i ne nalazi se u radijalnim  sektorima  NE Pakš.</w:t>
      </w:r>
    </w:p>
    <w:p>
      <w:pPr>
        <w:jc w:val="both"/>
        <w:spacing w:lineRule="auto" w:line="240" w:before="0" w:after="0" w:beforeAutospacing="0" w:afterAutospacing="0"/>
        <w:ind w:left="709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U 2024. godini</w:t>
      </w:r>
      <w:r>
        <w:rPr>
          <w:rFonts w:ascii="Calibri" w:hAnsi="Calibri"/>
          <w:color w:val="000000"/>
          <w:sz w:val="22"/>
        </w:rPr>
        <w:t xml:space="preserve"> nije bilo ugroza od nuklearnog i/ili radiološkog zračenja.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III. STANJE SUSTAVA  CIVILNE  ZAŠTITE </w:t>
      </w:r>
    </w:p>
    <w:p>
      <w:pPr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U provođenju aktivnosti sustava civilne  zaštite  na području Općine prvenstveno se angažiraju operativne snage sustava civilne zaštite te pravne osobe, službe i udruge od interesa za sustav civilne zaštite na području Općine određene Odlukom o određivanju pravnih osoba od interesa za sustav civilne zaštite.</w:t>
      </w:r>
    </w:p>
    <w:p>
      <w:pPr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Operativnim snagama rukovodi i koordinira općinski načelnik općine uz stručnu potporu Stožera Civilne zaštite. </w:t>
      </w:r>
    </w:p>
    <w:p>
      <w:pPr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Sukladno članku 20. Zakona o sustavu civilne zaštite („Narodne novine“, broj 82/15, 118/18, 31/20, 20/21 i 114/22) mjere i aktivnosti u sustavu civilne zaštite  provode  također i operativne snage Hrvatske gorske službe spašavanja, udruge te pravne osobe u sustavu civilne zaštite koje su obrazložene u daljnjem tekstu.</w:t>
      </w:r>
    </w:p>
    <w:p>
      <w:pPr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Težište poslova na području sustava civilne zaštite u 2024. godini temeljilo se na radnjama i postupcima u svrhu ažuriranja dokumenata civilne zaštite te postupci i radnje vezani uz provođenja Plana postupanja u turističkoj sezoni TURS 2024 te provođenja mjera CZ u nepovoljnim vremenskim (zimskim) uvjetima.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both"/>
        <w:spacing w:lineRule="auto" w:line="240" w:before="0" w:after="0" w:beforeAutospacing="0" w:afterAutospacing="0"/>
        <w:ind w:hanging="360" w:left="144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>1.</w:t>
      </w:r>
      <w:r>
        <w:rPr>
          <w:rFonts w:ascii="Calibri" w:hAnsi="Calibri"/>
          <w:color w:val="000000"/>
          <w:sz w:val="22"/>
        </w:rPr>
        <w:tab/>
        <w:t xml:space="preserve"> </w:t>
      </w:r>
      <w:r>
        <w:rPr>
          <w:rFonts w:ascii="Calibri" w:hAnsi="Calibri"/>
          <w:b w:val="1"/>
          <w:color w:val="000000"/>
          <w:sz w:val="22"/>
        </w:rPr>
        <w:t xml:space="preserve">STOŽER CIVILNE ZAŠTITE OPĆINE HUM NA SUTLI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Sukladno zakonskoj osnovi koja proizlazi iz čl.7. Pravilnika o sastavu stožera, načinu rada te uvjetima za imenovanje načelnika, zamjenika načelnika i članova stožera CZ, Načelnik Općine Hum na Sutli imenovao je Stožer civilne zaštite Općine Hum na Sutli Odlukom  KLASA:810-06/21-01/2.,  URBROJ: 2214/02-03-21-7 od  1. srpnja  2021. godine koji broji 13 članova.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Stožer  obavlja zadaće koje se odnose na prikupljanje i obradu informacija ranog upozoravanja o mogućnosti nastanka velike nesreće i katastrofe, razvija plan djelovanja sustava civilne zaštite na svom području, upravlja reagiranjem sustava civilne zaštite, obavlja poslove informiranja javnosti i predlaže donošenje odluke o prestanku provođenja mjera i aktivnosti u sustavu civilne zaštite.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Sukladno Godišnjim planom razvoja sustava civilne zaštite, u 2024. godini održana/o je 1 sjednica užeg sastava Stožera civilne zaštite u prostorijama Općine. Članovi stožera su upoznati s Planom vježbi civilne zaštite za 2024. godinu. Stožer civilne zaštite aktivno se uključio u izradu dokumentacije vezane uz sustav civilne zaštite.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spacing w:lineRule="auto" w:line="240" w:before="0" w:after="0" w:beforeAutospacing="0" w:afterAutospacing="0"/>
        <w:ind w:hanging="360" w:left="144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>2.</w:t>
      </w:r>
      <w:r>
        <w:rPr>
          <w:rFonts w:ascii="Calibri" w:hAnsi="Calibri"/>
          <w:color w:val="000000"/>
          <w:sz w:val="22"/>
        </w:rPr>
        <w:tab/>
        <w:t xml:space="preserve"> </w:t>
      </w:r>
      <w:r>
        <w:rPr>
          <w:rFonts w:ascii="Calibri" w:hAnsi="Calibri"/>
          <w:b w:val="1"/>
          <w:color w:val="000000"/>
          <w:sz w:val="22"/>
        </w:rPr>
        <w:t xml:space="preserve">VATROGASNA ZAJEDNICA OPĆINE HUM NA SUTLI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U Općini Hum na Sutli osnovana je Vatrogasna zajednica Općine koja u svojem sastavu ima 4 dobrovoljnih vatrogasnih društava:</w:t>
      </w:r>
    </w:p>
    <w:p>
      <w:pPr>
        <w:jc w:val="both"/>
        <w:spacing w:lineRule="atLeast" w:line="16" w:before="0" w:after="43" w:beforeAutospacing="0" w:afterAutospacing="0"/>
        <w:ind w:hanging="360" w:left="1571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Ø  DVD Straža</w:t>
      </w:r>
    </w:p>
    <w:p>
      <w:pPr>
        <w:jc w:val="both"/>
        <w:spacing w:lineRule="atLeast" w:line="16" w:before="0" w:after="43" w:beforeAutospacing="0" w:afterAutospacing="0"/>
        <w:ind w:hanging="360" w:left="1571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Ø  DVD Druškovec</w:t>
      </w:r>
    </w:p>
    <w:p>
      <w:pPr>
        <w:jc w:val="both"/>
        <w:spacing w:lineRule="atLeast" w:line="16" w:before="0" w:after="43" w:beforeAutospacing="0" w:afterAutospacing="0"/>
        <w:ind w:hanging="360" w:left="1571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Ø  DVD Klenovec</w:t>
      </w:r>
    </w:p>
    <w:p>
      <w:pPr>
        <w:jc w:val="both"/>
        <w:spacing w:lineRule="atLeast" w:line="16" w:before="0" w:after="43" w:beforeAutospacing="0" w:afterAutospacing="0"/>
        <w:ind w:hanging="360" w:left="1571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Ø  DVD Prišlin-Hum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Materijalna i kadrovska opremljenost navedenih DVD-a  nabrojana je u dokumentu Procjena ugroženosti od požara za Općinu Hum na Sutli.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U slučaju požara i dr. elementarnih nepogoda vatrogasci se aktiviraju  preko broja 193 (Operativni  vatrogasni centar Krapina)  ili  broja 112 (DUZS u Krapina).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Tijekom 2024</w:t>
      </w:r>
      <w:r>
        <w:rPr>
          <w:rFonts w:ascii="Calibri" w:hAnsi="Calibri"/>
          <w:color w:val="000000"/>
          <w:sz w:val="22"/>
        </w:rPr>
        <w:t xml:space="preserve">. godine navedeni DVD-i sa područja Općine Hum na Sutli učestvovali su u 149 vatrogasnih intervencija od 43 čega dojavljeno putem VOC-a Zabok a ostalo temeljem dojava građana i poduzeća (ispumpavanje bunara, rušenje stabala i sl.). 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ff0000"/>
          <w:sz w:val="22"/>
        </w:rPr>
        <w:t xml:space="preserve"> </w:t>
      </w:r>
    </w:p>
    <w:p>
      <w:pPr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spacing w:lineRule="auto" w:line="240" w:before="0" w:after="0" w:beforeAutospacing="0" w:afterAutospacing="0"/>
        <w:ind w:hanging="360" w:left="144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>3.</w:t>
      </w:r>
      <w:r>
        <w:rPr>
          <w:rFonts w:ascii="Calibri" w:hAnsi="Calibri"/>
          <w:color w:val="000000"/>
          <w:sz w:val="22"/>
        </w:rPr>
        <w:tab/>
        <w:t xml:space="preserve"> </w:t>
      </w:r>
      <w:r>
        <w:rPr>
          <w:rFonts w:ascii="Calibri" w:hAnsi="Calibri"/>
          <w:b w:val="1"/>
          <w:color w:val="000000"/>
          <w:sz w:val="22"/>
        </w:rPr>
        <w:t xml:space="preserve">CIVILNA ZAŠTITA OPĆINE HUM NA SUTLI – POVJERENICI CZ I KOORDINATORI NA LOKACIJI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Općinski načelnik Općine Hum na Sutli donio je Odluku o povjerenicima  civilne zaštite i njihovim zamjenicima KLASA: 250-01/23-01/7  URBROJ:2140-14/03-23-2 od 6.3. 2023.godine.  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Sukladno čl. 21 stavak 1 Pravilnika o mobilizaciji, uvjetima i načinu rada operativnih snaga sustava civilne zaštite, imenovano je 15 povjerenika civilne zaštite i 15 njihovih zamjenika.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Povjerenici civilne zaštite mobiliziraju se po nalogu Načelnika Općine putem stručne službe Općine pozivom ili  SMS-om i putem medija.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Popis povjerenika civilne zaštite i njihovih zamjenika, sa adresama i brojevima telefona i mobitela, sastavni je dio Odluke o imenovanju povjerenika civilne zaštite.   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Donesena je i Odluka o imenovanju koordinatora na području Općine Hum na Sutli “KLASA: 810-01/17-01/7, UR.BROJ: 2214/02-03-20-7 od 20. srpnja 2020 . godine., za svaku ugrozu navedenu u Procjeni rizika. Odabir koordinatora je u tijeku. </w:t>
        <w:tab/>
        <w:tab/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Tijekom 2024. godine</w:t>
      </w:r>
      <w:r>
        <w:rPr>
          <w:rFonts w:ascii="Calibri" w:hAnsi="Calibri"/>
          <w:color w:val="000000"/>
          <w:sz w:val="22"/>
        </w:rPr>
        <w:t xml:space="preserve">  nije bilo potrebe za uključivanjem povjerenika civilne i koordinatora na lokaciji u provođenje mjera civilne zaštite.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both"/>
        <w:spacing w:lineRule="auto" w:line="240" w:before="0" w:after="0" w:beforeAutospacing="0" w:afterAutospacing="0"/>
        <w:ind w:hanging="360" w:left="144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>4.</w:t>
      </w:r>
      <w:r>
        <w:rPr>
          <w:rFonts w:ascii="Calibri" w:hAnsi="Calibri"/>
          <w:color w:val="000000"/>
          <w:sz w:val="22"/>
        </w:rPr>
        <w:tab/>
        <w:t xml:space="preserve"> </w:t>
      </w:r>
      <w:r>
        <w:rPr>
          <w:rFonts w:ascii="Calibri" w:hAnsi="Calibri"/>
          <w:b w:val="1"/>
          <w:color w:val="000000"/>
          <w:sz w:val="22"/>
        </w:rPr>
        <w:t xml:space="preserve">UDRUGE GRAĐANA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Na području općine Hum na Sutli dijeluju slijedeće udruge od interesa za sustav CZ:</w:t>
      </w:r>
    </w:p>
    <w:p>
      <w:pPr>
        <w:jc w:val="both"/>
        <w:spacing w:lineRule="auto" w:line="240" w:before="0" w:after="0" w:beforeAutospacing="0" w:afterAutospacing="0"/>
        <w:ind w:hanging="360" w:left="1287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>·</w:t>
        <w:tab/>
        <w:t xml:space="preserve"> Lovačko društvo „Srndać“</w:t>
      </w:r>
    </w:p>
    <w:p>
      <w:pPr>
        <w:jc w:val="both"/>
        <w:spacing w:lineRule="auto" w:line="240" w:before="0" w:after="0" w:beforeAutospacing="0" w:afterAutospacing="0"/>
        <w:ind w:hanging="360" w:left="1287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>·</w:t>
        <w:tab/>
        <w:t xml:space="preserve"> Sportsko-ribolovno društvo „Klen“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Lovačka i ribolovna društva zastupaju i predstavljaju predsjednici i tajnici društava. 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Tijekom 2024. godine</w:t>
      </w:r>
      <w:r>
        <w:rPr>
          <w:rFonts w:ascii="Calibri" w:hAnsi="Calibri"/>
          <w:color w:val="000000"/>
          <w:sz w:val="22"/>
        </w:rPr>
        <w:t xml:space="preserve"> nije bilo potrebe za uključivanjem udruga u provođenje mjera civilne zaštite.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ab/>
        <w:tab/>
        <w:t xml:space="preserve"> 5. PRAVNE OSOBE I OSTALI SUBJEKTI OD INTERESA ZA SUSTAV CIVILNE  ZAŠTITE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Pravne osobe i ostali subjekti od interesa za sustav civilne zaštite Općine Hum na Sutli određene su Odlukom Načelnika (KLASA: 810-01/19-01/10, URBROJ: 2214/02-01-19-4, od 18. prosinca  2019. godine na koju je dobivena suglasnost MUP-Ravnateljstvo CZ-Područni ured Varaždin-Služba CZ Krapina.</w:t>
      </w: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Tijekom 2024. godine</w:t>
      </w:r>
      <w:r>
        <w:rPr>
          <w:rFonts w:ascii="Calibri" w:hAnsi="Calibri"/>
          <w:color w:val="000000"/>
          <w:sz w:val="22"/>
        </w:rPr>
        <w:t xml:space="preserve"> nije bilo potrebe za uključivanjem, pozivanjem niti smotriranjem pravnih osoba i ostalih sudionika u sustavu CZ.</w:t>
      </w: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 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ab/>
        <w:tab/>
        <w:t xml:space="preserve"> 6. HRVATSKA GORSKA SLUŽBA SPAŠAVANJA  -  STANICA ZLATAR BISTRICA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Hrvatska gorska služba spašavanje je dobrovoljna i neprofitna humanitarna služba javnog karaktera. Specijalizirana je za spašavanje na planinama, stijenama, speleološkim objektima i drugim nepristupačnim mjestima kada pri spašavanju treba primijeniti posebno stručno znanje i upotrijebiti opremu za spašavanje u planinama. Rad HGSS definiran je Zakonom o Hrvatskoj gorskoj službi spašavanja (NN 79/06)  te Zakonom i izmjenama i dopunama Zakona o Hrvatskoj gorskoj službi spašavanja koji je stupio na snagu 21. 10. 2015. godine (NN broj  110/15) – u daljnjem tekstu: Zakon.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ab/>
        <w:t xml:space="preserve"> Temeljem navedenog Zakona, HGSS je prepoznata kao operativna snaga  spašavanja i zaštite ljudskih života obzirom da se time bavi kao svojom redovitom djelatnošću.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Program aktivnosti HGSS – stanice Krapina koja pokriva područje Općine Hum na Sutli, temelji se na Zakonu o Hrvatskoj gorskoj službi spašavanja (NN 179/06 i 110/15) i predviđa osiguranje sredstava za HGSS koja organizira, unapređuje i obavlja djelatnost spašavanja i zaštite ljudskih života u planinama i na nepristupačnim područjima i u drugim izvanrednim okolnostima.</w:t>
        <w:tab/>
        <w:t xml:space="preserve"> 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Sredstva za financiranje redovite djelatnosti stanice osiguravaju se u proračunu Općine na temelju zajednički utvrđenog interesa između JLS i HGSS. 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Tijekom 2024</w:t>
      </w:r>
      <w:r>
        <w:rPr>
          <w:rFonts w:ascii="Calibri" w:hAnsi="Calibri"/>
          <w:color w:val="000000"/>
          <w:sz w:val="22"/>
        </w:rPr>
        <w:t xml:space="preserve">. godine, Općina Hum na Sutli nije imala potrebe za pozivanjem i angažiranjem HGSS – stanica Zlatar Bistrica u smislu provođenja njihovih redovnih aktivnosti, niti u smislu sudjelovanja u sustavu CZ. </w:t>
      </w: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IV. FINANCIRANJE SUSTAVA CIVILNE ZAŠTITE</w:t>
      </w: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Sredstva namijenjena za financiranje sustava  civilne zaštite, osigurana su i realizirana u proračunu Općine za 2024. godinu.</w:t>
      </w: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ff0000"/>
          <w:sz w:val="22"/>
        </w:rPr>
        <w:t xml:space="preserve"> </w:t>
      </w: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V. NADLEŽNOST I ZADAĆE OPĆINE U SUSTAVU CIVILNE ZAŠTITE </w:t>
      </w: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Poslovi koje je Općina Hum na Sutli provodila u 2024. godini kako bi sustav civilne zaštite bio što djelotvorniji su sljedeći:</w:t>
      </w:r>
    </w:p>
    <w:p>
      <w:pPr>
        <w:spacing w:lineRule="auto" w:line="240" w:before="0" w:after="0" w:beforeAutospacing="0" w:afterAutospacing="0"/>
        <w:ind w:hanging="360" w:left="720"/>
        <w:numPr>
          <w:numId w:val="1"/>
        </w:numPr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Izrađen je Plan djelovanja u području prirodnih nepogoda za 2025.</w:t>
      </w:r>
    </w:p>
    <w:p>
      <w:pPr>
        <w:spacing w:lineRule="auto" w:line="240" w:before="0" w:after="0" w:beforeAutospacing="0" w:afterAutospacing="0"/>
        <w:ind w:hanging="360" w:left="720"/>
        <w:numPr>
          <w:numId w:val="1"/>
        </w:numPr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Izrađeno je Izvješće o prirodnim nepogodama za 2024. godinu</w:t>
      </w:r>
    </w:p>
    <w:p>
      <w:pPr>
        <w:spacing w:lineRule="auto" w:line="240" w:before="0" w:after="0" w:beforeAutospacing="0" w:afterAutospacing="0"/>
        <w:ind w:hanging="360" w:left="720"/>
        <w:numPr>
          <w:numId w:val="1"/>
        </w:numPr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Izrađen je Program pripremnih i provedbenih aktivnosti za turističku sezonu 2024. godine – TURS 2024</w:t>
      </w:r>
    </w:p>
    <w:p>
      <w:pPr>
        <w:spacing w:lineRule="auto" w:line="240" w:before="0" w:after="0" w:beforeAutospacing="0" w:afterAutospacing="0"/>
        <w:ind w:hanging="360" w:left="720"/>
        <w:numPr>
          <w:numId w:val="1"/>
        </w:numPr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Izrađen je prijedlog godišnjeg plana vježbi za 2025. godinu</w:t>
      </w:r>
    </w:p>
    <w:p>
      <w:pPr>
        <w:spacing w:lineRule="auto" w:line="240" w:before="0" w:after="0" w:beforeAutospacing="0" w:afterAutospacing="0"/>
        <w:ind w:hanging="360" w:left="720"/>
        <w:numPr>
          <w:numId w:val="1"/>
        </w:numPr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Donesene su Mjere civilne zaštite u nepovoljnim vremenskim uvjetima 2024./2025. godine</w:t>
      </w:r>
    </w:p>
    <w:p>
      <w:pPr>
        <w:spacing w:lineRule="auto" w:line="240" w:before="0" w:after="0" w:beforeAutospacing="0" w:afterAutospacing="0"/>
        <w:ind w:hanging="360" w:left="720"/>
        <w:numPr>
          <w:numId w:val="1"/>
        </w:numPr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Dostava podataka i tablica kao i drugih traženih informacija Krapinsko-zagorskoj županiji i MUP-ravnateljstvo CZ, Područni ured Varaždin-Služba CZ Krapina</w:t>
      </w:r>
    </w:p>
    <w:p>
      <w:pPr>
        <w:spacing w:lineRule="auto" w:line="240" w:before="0" w:after="0" w:beforeAutospacing="0" w:afterAutospacing="0"/>
        <w:ind w:hanging="360" w:left="720"/>
        <w:numPr>
          <w:numId w:val="1"/>
        </w:numPr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Izrada Analize stanja sustava civilne zaštite na području Općine Hum na Sutli za 2024. godinu </w:t>
      </w:r>
    </w:p>
    <w:p>
      <w:pPr>
        <w:spacing w:lineRule="auto" w:line="240" w:before="0" w:after="0" w:beforeAutospacing="0" w:afterAutospacing="0"/>
        <w:ind w:hanging="360" w:left="720"/>
        <w:numPr>
          <w:numId w:val="1"/>
        </w:numPr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Izrada Godišnjeg plana razvoja za 2025. godinu s financijskim učincima za trogodišnje razdoblje</w:t>
      </w:r>
    </w:p>
    <w:p>
      <w:pPr>
        <w:spacing w:lineRule="auto" w:line="240" w:before="0" w:after="0" w:beforeAutospacing="0" w:afterAutospacing="0"/>
        <w:ind w:hanging="360" w:left="720"/>
        <w:numPr>
          <w:numId w:val="1"/>
        </w:numPr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Izrađene su nove Smjernice za organizaciju i razvoj sustava civilne zaštite za razdoblje 2025.-2028. godine na području Općine Hum na Sutli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 </w:t>
      </w:r>
      <w:r>
        <w:rPr>
          <w:rFonts w:ascii="Calibri" w:hAnsi="Calibri"/>
          <w:b w:val="1"/>
          <w:color w:val="000000"/>
          <w:sz w:val="22"/>
        </w:rPr>
        <w:t xml:space="preserve"> </w:t>
      </w: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  </w:t>
      </w: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ab/>
        <w:t xml:space="preserve"> VI.</w:t>
        <w:tab/>
        <w:t xml:space="preserve"> ZAKLJUČAK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Temeljem analize sustava civilne zaštite može se zaključiti da je stanje sustava zadovoljavajuće. 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Donesen je niz planskih dokumenata koji uređuju stanje sustava civilne zaštite,  nositelji zadaća i aktivnosti po mjerama civilne zaštite upoznati su sa planskim dokumentima, a stožer civilne zaštite aktivno je uključen u provođenje mjera civilne zaštite i izradu dokumenata vezanih uz  CZ. 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Sve planirane radnje i postupci koji su bili planirani za 2024. godinu a nisu izvršene, uglavnom su prenesene i planirane za 2025. godinu. Tu se prije svega misli na održavanje vježbi, smotriranje i sastanci sa pravnim osobama, povjerenicima i koordinatorima.</w:t>
      </w: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ab/>
        <w:tab/>
        <w:tab/>
        <w:tab/>
        <w:tab/>
        <w:tab/>
        <w:t xml:space="preserve"> </w:t>
        <w:tab/>
        <w:tab/>
        <w:t xml:space="preserve"> PREDSJEDNIK OPĆINSKOG VIJEĆA</w:t>
      </w: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ab/>
        <w:tab/>
        <w:tab/>
        <w:tab/>
        <w:tab/>
        <w:tab/>
        <w:tab/>
        <w:tab/>
        <w:t xml:space="preserve">            Mario Antonić</w:t>
      </w:r>
    </w:p>
    <w:p>
      <w:pPr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 </w:t>
      </w: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>DOSTAVITI:</w:t>
      </w:r>
    </w:p>
    <w:p>
      <w:pPr>
        <w:spacing w:lineRule="auto" w:line="240" w:after="0" w:beforeAutospacing="0" w:afterAutospacing="0"/>
        <w:pStyle w:val="P0"/>
        <w:rPr>
          <w:sz w:val="16"/>
        </w:rPr>
      </w:pPr>
      <w:r>
        <w:rPr>
          <w:rFonts w:ascii="Times New Roman" w:hAnsi="Times New Roman"/>
          <w:noProof w:val="1"/>
          <w:sz w:val="16"/>
        </w:rPr>
        <w:t xml:space="preserve">1. SLUŽBENI </w:t>
      </w:r>
      <w:r>
        <w:rPr>
          <w:rFonts w:ascii="Times New Roman" w:hAnsi="Times New Roman"/>
          <w:sz w:val="16"/>
        </w:rPr>
        <w:t xml:space="preserve">GLASNIK KRAPINSKO-ZAGORSKE ŽUPANIJE, Magistratska 1, KRAPINA, 49000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sz w:val="16"/>
        </w:rPr>
      </w:pPr>
    </w:p>
    <w:sectPr>
      <w:headerReference w:type="first" r:id="header1"/>
      <w:headerReference w:type="even" r:id="header3"/>
      <w:headerReference w:type="default" r:id="header2"/>
      <w:footerReference w:type="first" r:id="footer4"/>
      <w:footerReference w:type="even" r:id="footer6"/>
      <w:footerReference w:type="default" r:id="footer5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numbering.xml><?xml version="1.0" encoding="utf-8"?>
<w:numbering xmlns:w="http://schemas.openxmlformats.org/wordprocessingml/2006/main">
  <w:abstractNum w:abstractNumId="0">
    <w:nsid w:val="00000001"/>
    <w:multiLevelType w:val="hybridMultilevel"/>
    <w:lvl w:ilvl="0" w:tplc="297ba8eb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divId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720" w:right="0"/>
        <w:outlineLvl w:val="9"/>
      </w:pPr>
      <w:rPr/>
    </w:lvl>
    <w:lvl w:ilvl="1" w:tplc="64cf283b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divId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1440" w:right="0"/>
        <w:outlineLvl w:val="9"/>
      </w:pPr>
      <w:rPr/>
    </w:lvl>
    <w:lvl w:ilvl="2" w:tplc="0f764366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divId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2160" w:right="0"/>
        <w:outlineLvl w:val="9"/>
      </w:pPr>
      <w:rPr/>
    </w:lvl>
    <w:lvl w:ilvl="3" w:tplc="3e020d2f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divId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2880" w:right="0"/>
        <w:outlineLvl w:val="9"/>
      </w:pPr>
      <w:rPr/>
    </w:lvl>
    <w:lvl w:ilvl="4" w:tplc="19e6271d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divId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3600" w:right="0"/>
        <w:outlineLvl w:val="9"/>
      </w:pPr>
      <w:rPr/>
    </w:lvl>
    <w:lvl w:ilvl="5" w:tplc="1ca01e3d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divId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4320" w:right="0"/>
        <w:outlineLvl w:val="9"/>
      </w:pPr>
      <w:rPr/>
    </w:lvl>
    <w:lvl w:ilvl="6" w:tplc="398ecf06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divId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5040" w:right="0"/>
        <w:outlineLvl w:val="9"/>
      </w:pPr>
      <w:rPr/>
    </w:lvl>
    <w:lvl w:ilvl="7" w:tplc="0bba0f45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divId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5760" w:right="0"/>
        <w:outlineLvl w:val="9"/>
      </w:pPr>
      <w:rPr/>
    </w:lvl>
    <w:lvl w:ilvl="8" w:tplc="562bb01b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divId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6480" w:right="0"/>
        <w:outlineLvl w:val="9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>
      <w:numPr/>
    </w:pPr>
    <w:rPr/>
  </w:style>
  <w:style w:type="paragraph" w:styleId="P1">
    <w:name w:val="Head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3" Type="http://schemas.openxmlformats.org/officeDocument/2006/relationships/header" Target="header3.xml"/><Relationship Id="header2" Type="http://schemas.openxmlformats.org/officeDocument/2006/relationships/header" Target="header2.xml"/><Relationship Id="footer4" Type="http://schemas.openxmlformats.org/officeDocument/2006/relationships/footer" Target="footer4.xml"/><Relationship Id="footer6" Type="http://schemas.openxmlformats.org/officeDocument/2006/relationships/footer" Target="footer6.xml"/><Relationship Id="footer5" Type="http://schemas.openxmlformats.org/officeDocument/2006/relationships/footer" Target="footer5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_rels/header2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2024-12-16T15:18:51Z</dcterms:created>
  <dcterms:modified xsi:type="dcterms:W3CDTF">2024-12-16T15:18:51Z</dcterms:modified>
</cp:coreProperties>
</file>