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400-02/24-01/5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25.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rujan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Na temelju članka 85. Zakona o proračunu (NN br.144/21) i članka 30. Statuta Općine Hum na Sutli („Službeni glasnik Krapinsko-zagorske županije“ br. 9/21), Općinsko vijeće Općine Hum na Sutli na sjednici održanoj  24. rujna  2024. godine donijelo je slijedeći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8"/>
        </w:rPr>
        <w:t>ZAKLJUČAK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1.</w:t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Prihvaća se Izvještaj o stanju </w:t>
      </w:r>
      <w:r>
        <w:rPr>
          <w:rFonts w:ascii="Arial" w:hAnsi="Arial"/>
          <w:caps w:val="0"/>
          <w:sz w:val="22"/>
        </w:rPr>
        <w:t xml:space="preserve">potraživanja i dospjelih obveza </w:t>
      </w:r>
      <w:r>
        <w:rPr>
          <w:rFonts w:ascii="Arial" w:hAnsi="Arial"/>
          <w:sz w:val="22"/>
        </w:rPr>
        <w:t xml:space="preserve">na dan 30. lipanj 2024. godine Dječjeg vrtića „Balončica“, Hum na Sutli.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Izvještaj iz točke 1. ovog Zaključka čini njegov sastavni dio.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Ovaj Zaključak objavljuje se u „Službenom glasniku Krapinsko-zagorske županije“, a stupa na snagu osmog dana od objave.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PREDSJEDNIK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OPĆINSKOG VIJEĆA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8"/>
        </w:rPr>
      </w:pPr>
      <w:r>
        <w:rPr>
          <w:rFonts w:ascii="Times New Roman" w:hAnsi="Times New Roman"/>
          <w:noProof w:val="1"/>
          <w:sz w:val="18"/>
        </w:rPr>
        <w:t>1</w:t>
      </w:r>
      <w:r>
        <w:rPr>
          <w:rFonts w:ascii="Times New Roman" w:hAnsi="Times New Roman"/>
          <w:noProof w:val="1"/>
          <w:sz w:val="18"/>
        </w:rPr>
        <w:t>.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noProof w:val="1"/>
          <w:sz w:val="18"/>
        </w:rPr>
        <w:t>SLUŽBENI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GLASNIK KRAPINSKO-ZAGORSKE ŽUPANIJE, Magistratska 1, KRAPINA, 49000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sz w:val="18"/>
        </w:rPr>
        <w:t xml:space="preserve">2. DJEČJI VRTIĆ BALONČICA, HUM NA SUTLI 156 , HUM NA SUTLI, 49231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2024-09-25T14:31:48Z</dcterms:created>
  <dcterms:modified xsi:type="dcterms:W3CDTF">2024-09-25T14:31:48Z</dcterms:modified>
</cp:coreProperties>
</file>